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ILYÉS</w:t>
            </w:r>
          </w:p>
          <w:p w:rsidR="00C275A3" w:rsidRDefault="00A96AEC" w:rsidP="00C275A3">
            <w:pPr>
              <w:pStyle w:val="Hallgatokepzes"/>
            </w:pPr>
            <w:r>
              <w:t>BA in Internation Business Administration</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Emese Ilyés-Molnár</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Hungarian household’s structure of wealth and indebtedness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analyse the indebtedness and wealth structure of the Hungarian households sector. In the years following the change of regime the debts of households has increased dramatically, the process was aided with state subsidies of home loans in the years after 2000. Because of this intensive indebtedness in 2002 the financial relationships between the macro economical sectors has changed, the corporations behaved like savers instead of being borrowers. Despite of the state subsidies of home loans being cut the loans of the household sector increased after the change of government, the loans then consisted mostly of devise based loans. At the onset of the financial crises of 2008 more than 70 % of the households debt was devise based. The new government choose the fight against debt as one of its priorities what signifies the severity of this problem.</w:t>
      </w:r>
    </w:p>
    <w:p>
      <w:pPr>
        <w:pBdr/>
        <w:spacing w:before="240" w:after="240" w:line="240" w:lineRule="auto"/>
        <w:ind w:left="0" w:right="0"/>
        <w:jc w:val="left"/>
      </w:pPr>
      <w:r>
        <w:rPr>
          <w:color w:val="000000"/>
          <w:sz w:val="24"/>
          <w:szCs w:val="24"/>
        </w:rPr>
        <w:t xml:space="preserve">In the case of households the classical definitions of indebtedness are not easily applicable, the behaviour of the sector’s agents are distinct from the behaviour of a profit oriented corporation. Also these definitions need to be adjusted.</w:t>
      </w:r>
    </w:p>
    <w:p>
      <w:pPr>
        <w:pBdr/>
        <w:spacing w:before="240" w:after="240" w:line="240" w:lineRule="auto"/>
        <w:ind w:left="0" w:right="0"/>
        <w:jc w:val="left"/>
      </w:pPr>
      <w:r>
        <w:rPr>
          <w:color w:val="000000"/>
          <w:sz w:val="24"/>
          <w:szCs w:val="24"/>
        </w:rPr>
        <w:t xml:space="preserve">In my research I analyse the questions: what are the usable methods of defining and computing the household’s sector indebtedness and whether Hungarian households sector is indebted on the basis of these definitions. I also analyse that question whether the behaviour of this sector between 2000 and 2010 could be explained by rationale motives.</w:t>
      </w:r>
    </w:p>
    <w:p>
      <w:pPr>
        <w:pBdr/>
        <w:spacing w:before="240" w:after="240" w:line="240" w:lineRule="auto"/>
        <w:ind w:left="0" w:right="0"/>
        <w:jc w:val="left"/>
      </w:pPr>
      <w:r>
        <w:rPr>
          <w:color w:val="000000"/>
          <w:sz w:val="24"/>
          <w:szCs w:val="24"/>
        </w:rPr>
        <w:t xml:space="preserve">In my paper I list the assets of the household’s sector, which are not represented explicitly in the macro economical statistics, but could be used as collateral for loans. I compute the financial assets, the real assets, the values of vehicles and real estates and the expectations for future real wages.</w:t>
      </w:r>
    </w:p>
    <w:p>
      <w:pPr>
        <w:pBdr/>
        <w:spacing w:before="240" w:after="240" w:line="240" w:lineRule="auto"/>
        <w:ind w:left="0" w:right="0"/>
        <w:jc w:val="left"/>
      </w:pPr>
      <w:r>
        <w:rPr>
          <w:color w:val="000000"/>
          <w:sz w:val="24"/>
          <w:szCs w:val="24"/>
        </w:rPr>
        <w:t xml:space="preserve">In my research I draw the conclusion that the high real wage growth and high future expectations in the years after 2000 could have caused that the sector indebted at such a high rate. But after the financial crises of 2008 the foreign exchange losses and the weak future prospects caused the large deterioration of these financial 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55139">
    <w:multiLevelType w:val="hybridMultilevel"/>
    <w:lvl w:ilvl="0" w:tplc="77378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55139">
    <w:abstractNumId w:val="543551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883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