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ENIKŐ</w:t>
            </w:r>
          </w:p>
          <w:p w:rsidR="00C275A3" w:rsidRDefault="00A96AEC" w:rsidP="00C275A3">
            <w:pPr>
              <w:pStyle w:val="Hallgatokepzes"/>
            </w:pPr>
            <w:r>
              <w:t>Nemzetközi gazdálkodás francia nyelvű képzés</w:t>
            </w:r>
            <w:r>
              <w:br/>
            </w:r>
            <w:r w:rsidR="00E77B23">
              <w:t>BA, 5. félév</w:t>
            </w:r>
          </w:p>
          <w:p w:rsidR="00C265CE" w:rsidRPr="009E5FF1" w:rsidRDefault="00E77B23" w:rsidP="00C275A3">
            <w:pPr>
              <w:pStyle w:val="Hallgatokepzes"/>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Szilágyi Judit Beáta</w:t>
            </w:r>
          </w:p>
          <w:p w:rsidR="00DB4822" w:rsidRDefault="00DB4822" w:rsidP="00E11062">
            <w:pPr>
              <w:pStyle w:val="Konzulensek"/>
            </w:pPr>
            <w:r w:rsidRPr="00DB4822">
              <w:t>főiskolai adjunktus, BGF KKK</w:t>
            </w:r>
          </w:p>
        </w:tc>
      </w:tr>
      <w:tr w:rsidR="00DB4822" w:rsidTr="00DB4822">
        <w:tc>
          <w:tcPr>
            <w:tcW w:w="9854" w:type="dxa"/>
          </w:tcPr>
          <w:p w:rsidR="00DB4822" w:rsidRPr="00DB4822" w:rsidRDefault="00DB4822" w:rsidP="004D7940">
            <w:pPr>
              <w:pStyle w:val="Konzulensek"/>
            </w:pPr>
            <w:r w:rsidRPr="00DB4822">
              <w:t>Dr. Fregán Beatrix</w:t>
            </w:r>
          </w:p>
          <w:p w:rsidR="00DB4822" w:rsidRDefault="00DB4822" w:rsidP="00E11062">
            <w:pPr>
              <w:pStyle w:val="Konzulensek"/>
            </w:pPr>
            <w:r w:rsidRPr="00DB4822">
              <w:t>egyetemi tanár,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 afrikai terjeszkedésének dimenziói - Ellentétek és párhuzamok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XXI. század első éveiben Kína erőteljes terjeszkedésbe kezdett Afrikában; ezáltal nem csupán a kontinens gazdasági kapcsolatrendszerében idéz elő változásokat, de politikai téren is növekvő befolyásra tesz szert. A kínai térnyeréssel egy időben a térségre jelentős hatást gyakorló országok erőviszonyai is eltolódni látszanak. Ugyan mind Kína, mind a „nyugati hatalmak” célja közel azonos – saját gazdasági prosperitásuk biztosítása és politikai súlyuk megőrzése – mégis eltérő eszközrendszerrel operálnak.</w:t>
      </w:r>
    </w:p>
    <w:p>
      <w:pPr>
        <w:pBdr/>
        <w:spacing w:before="240" w:after="240" w:line="240" w:lineRule="auto"/>
        <w:ind w:left="0" w:right="0"/>
        <w:jc w:val="left"/>
      </w:pPr>
      <w:r>
        <w:rPr>
          <w:color w:val="000000"/>
          <w:sz w:val="24"/>
          <w:szCs w:val="24"/>
        </w:rPr>
        <w:t xml:space="preserve">Munkám során a kínai és a „nyugati” típusú stratégiai modell globális bemutatására törekszem, melyhez Franciaországot választottam az összehasonlítás ellentétes pólusának. A pozitív hatások mellett konkrét példákon keresztül szemléltetem a felmerülő negatív következményeket is. Célom nem „győztes kikiáltása”, sokkal inkább a figyelemfelkeltés.</w:t>
      </w:r>
    </w:p>
    <w:p>
      <w:pPr>
        <w:pBdr/>
        <w:spacing w:before="240" w:after="240" w:line="240" w:lineRule="auto"/>
        <w:ind w:left="0" w:right="0"/>
        <w:jc w:val="left"/>
      </w:pPr>
      <w:r>
        <w:rPr>
          <w:color w:val="000000"/>
          <w:sz w:val="24"/>
          <w:szCs w:val="24"/>
        </w:rPr>
        <w:t xml:space="preserve">Úgy gondolom, hogy ásványkincsei birtokában Afrika erősebb alkupozícióban van, mint valaha, ezért a vezetők fejlődő és fejlett országokkal kötött megállapodásaikban is nagyobb hangsúlyt kellene, hogy helyezzenek országuk hosszú távú érdekeire, fenntarthatóbb fejlődésükre. Mindez azonban nem kell, hogy kizárja Franciaország befolyásának növelését, visszaszerzését, sem Kína igényeinek kielégítését.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76689">
    <w:multiLevelType w:val="hybridMultilevel"/>
    <w:lvl w:ilvl="0" w:tplc="91050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76689">
    <w:abstractNumId w:val="62376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939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