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KATALIN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KOLOZSVÁRI BEÁTA</w:t>
            </w:r>
          </w:p>
          <w:p w:rsidR="00DB4822" w:rsidRDefault="00C275A3" w:rsidP="004D7940">
            <w:pPr>
              <w:pStyle w:val="Hallgatokepzes"/>
            </w:pPr>
            <w:r>
              <w:t>Matematika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Nyíregyházi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RENÁTA ANITA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Klára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állítsak elő szivárványt, hogyan készítsek áramforrást? (Fizika szaktábor)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ÁLLÍTSAK ELŐ SZIVÁRVÁNYT, HOGYAN KÉSZÍTSEK ÁRAMFORRÁST?</w:t>
      </w:r>
      <w:r>
        <w:rPr>
          <w:color w:val="000000"/>
          <w:sz w:val="24"/>
          <w:szCs w:val="24"/>
        </w:rPr>
        <w:br/>
        <w:t xml:space="preserve">(Fizika szaktábor)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Szerzők: Tóth Renáta Anita, Kolozsvári Beáta, Hegedűs Katalin</w:t>
      </w:r>
      <w:r>
        <w:rPr>
          <w:color w:val="000000"/>
          <w:sz w:val="24"/>
          <w:szCs w:val="24"/>
        </w:rPr>
        <w:br/>
        <w:t xml:space="preserve">FIZIKA BSc II. NYF MMFK, Fizika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Varga Klára, főiskolai docens</w:t>
      </w:r>
      <w:r>
        <w:rPr>
          <w:color w:val="000000"/>
          <w:sz w:val="24"/>
          <w:szCs w:val="24"/>
        </w:rPr>
        <w:br/>
        <w:t xml:space="preserve">Napjainkban egyre többet hallunk annak fontosságáról, hogy az iskolának a mindennapi életben jól hasznosítható tudást kell közvetítenie. Ezt segíti a kompetencia alapú oktatás. A tanár szerepe is egyre inkább megváltozik: az egyirányú ismeretközlés helyett a tanulási folyamat megszervezésére, támogatására, a diákok aktív részvételére helyeződik a hangsúly. Ennek figyelembe vételével szerveztünk tehetséggondozó szaktábort általános- és középiskolai tanulók számára. Mi is aktívan részt vettünk ebben a munkában. Dolgozatunkban erről számolunk be. Célunk az volt, hogy sok új ismeretre tegyenek szert a tanulók, aktívan vegyenek részt a szakmai munkában, fejlődjön kísérletező készségük, motiváltak, kreatívak legyenek a foglalkozásokon.</w:t>
      </w:r>
      <w:r>
        <w:rPr>
          <w:color w:val="000000"/>
          <w:sz w:val="24"/>
          <w:szCs w:val="24"/>
        </w:rPr>
        <w:br/>
        <w:t xml:space="preserve">Optikai és elektromosságtani témával foglalkoztunk. Összeállítottunk egy munkafüzetet (ez a dolgozatunkban megtalálható), melyet minden tanuló megkapott. Ebben elsősorban olyan kísérletek szerepeltek, amelyek túlmutattak az iskolai követelményeken, illetve amelyeket tanuló kísérletekkel nem nagyon szoktak megcsinálni. A kísérletek zömét a tanulók végezték el a mi irányításunkkal, segítségünkkel, magyarázatainkkal. Pl. gombostűk segítségével bebizonyították a fényvisszaverődés, a fénytörés törvényeit, szivárványt állítottak elő a laborban, összeállították különféle távcsövek modelljét, meghatározták saját hajszáluk vastagságát, stb. Áramforrást készítettek gyümölcsökből, elektroszkópot készítettek, amellyel kísérleteket végeztek, bebizonyították Ohm törvényét, láthatóvá tették az ionok vándorlását, stb.</w:t>
      </w:r>
      <w:r>
        <w:rPr>
          <w:color w:val="000000"/>
          <w:sz w:val="24"/>
          <w:szCs w:val="24"/>
        </w:rPr>
        <w:br/>
        <w:t xml:space="preserve">Célunk megvalósításához új módszereket is alkalmaztunk, úm. a projektmódszert, a kooperatív technikák közül néhányat. Első este minden csoport választott egy – egy témát, amit közösen kellett a hét folyamán feldolgozniuk. Készíthettek poszter, tarthattak előadást.</w:t>
      </w:r>
      <w:r>
        <w:rPr>
          <w:color w:val="000000"/>
          <w:sz w:val="24"/>
          <w:szCs w:val="24"/>
        </w:rPr>
        <w:br/>
        <w:t xml:space="preserve">A tábor zárásaként vetélkedőt szerveztünk, mely elméleti és kísérleti feladatokat tartalmazott. A verseny feladatai, azok eredményének kiértékelése dolgozatunkban olvasható.</w:t>
      </w:r>
      <w:r>
        <w:rPr>
          <w:color w:val="000000"/>
          <w:sz w:val="24"/>
          <w:szCs w:val="24"/>
        </w:rPr>
        <w:br/>
        <w:t xml:space="preserve">Igyekeztünk a foglalkozásokon jó hangulatot teremteni. Ezt játékos feladatokkal, keresztrejtvényekkel, gondolkodtató kérdések megválaszolásával valósítottuk meg.</w:t>
      </w:r>
      <w:r>
        <w:rPr>
          <w:color w:val="000000"/>
          <w:sz w:val="24"/>
          <w:szCs w:val="24"/>
        </w:rPr>
        <w:br/>
        <w:t xml:space="preserve">A tanulók is jól érezték magukat a foglalkozásokon, jövőre is szeretnének táborlakók lenni!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02988">
    <w:multiLevelType w:val="hybridMultilevel"/>
    <w:lvl w:ilvl="0" w:tplc="54731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02988">
    <w:abstractNumId w:val="62102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349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