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KERNYA ÁKOS</w:t>
            </w:r>
          </w:p>
          <w:p w:rsidR="00C275A3" w:rsidRDefault="00A96AEC" w:rsidP="00C275A3">
            <w:pPr>
              <w:pStyle w:val="Hallgatokepzes"/>
            </w:pPr>
            <w:r>
              <w:t>Testnevelő-edző</w:t>
            </w:r>
            <w:r>
              <w:br/>
            </w:r>
            <w:r w:rsidR="00E77B23">
              <w:t>BSc, 5. félév</w:t>
            </w:r>
          </w:p>
          <w:p w:rsidR="00C265CE" w:rsidRPr="009E5FF1" w:rsidRDefault="00E77B23" w:rsidP="00C275A3">
            <w:pPr>
              <w:pStyle w:val="Hallgatokepzes"/>
              <w:rPr>
                <w:b/>
                <w:caps/>
              </w:rPr>
            </w:pPr>
            <w:r>
              <w:t>Nyugat-magyarországi Egyetem</w:t>
            </w:r>
            <w:r w:rsidR="00C275A3">
              <w:br/>
            </w:r>
            <w:r w:rsidR="00DB4822">
              <w:t>Művészeti, Nevelés- és Sporttudományi Kar</w:t>
            </w:r>
          </w:p>
        </w:tc>
        <w:tc>
          <w:tcPr>
            <w:tcW w:w="4914" w:type="dxa"/>
          </w:tcPr>
          <w:p w:rsidR="00DB4822" w:rsidRPr="00DB4822" w:rsidRDefault="00DB4822" w:rsidP="004D7940">
            <w:pPr>
              <w:pStyle w:val="Hallgatonev"/>
              <w:rPr>
                <w:caps/>
              </w:rPr>
            </w:pPr>
            <w:r w:rsidRPr="00DB4822">
              <w:rPr>
                <w:caps/>
              </w:rPr>
              <w:t>NÉMETH VIKTÓRIA</w:t>
            </w:r>
          </w:p>
          <w:p w:rsidR="00DB4822" w:rsidRDefault="00C275A3" w:rsidP="004D7940">
            <w:pPr>
              <w:pStyle w:val="Hallgatokepzes"/>
            </w:pPr>
            <w:r>
              <w:t>Testnevelő-edző</w:t>
            </w:r>
            <w:r w:rsidR="00A96AEC">
              <w:br/>
              <w:t>BSc, 5. félév</w:t>
            </w:r>
          </w:p>
          <w:p w:rsidR="00DB4822" w:rsidRDefault="00DB4822" w:rsidP="004D7940">
            <w:pPr>
              <w:pStyle w:val="Hallgatointezmeny-kar"/>
            </w:pPr>
            <w:r>
              <w:t>Nyugat-magyarországi Egyetem</w:t>
            </w:r>
          </w:p>
          <w:p w:rsidR="00C265CE" w:rsidRPr="009E5FF1" w:rsidRDefault="00DB4822" w:rsidP="004D7940">
            <w:pPr>
              <w:pStyle w:val="Hallgatointezmeny-kar"/>
              <w:rPr>
                <w:b/>
                <w:caps/>
              </w:rPr>
            </w:pPr>
            <w:r>
              <w:t>Művészeti, Nevelés- és Sporttudományi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Heszteráné Dr. Ekler Judit</w:t>
            </w:r>
          </w:p>
          <w:p w:rsidR="00DB4822" w:rsidRDefault="00DB4822" w:rsidP="00E11062">
            <w:pPr>
              <w:pStyle w:val="Konzulensek"/>
            </w:pPr>
            <w:r w:rsidRPr="00DB4822">
              <w:t>egyetemi docens,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Ismeretek az iskolai testnevelés céljairól és feladatairól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Meggyőződésünk, hogy az iskolai testnevelés céljainak és feladatainak ismerete tudatosabb részvételt, és így a tárgy nagyobb hatékonyságát eredményezi. Kutatásunkban szeretnénk megismerni, hogy az iskolai élet szereplői mennyire ismerik azokat. Kérdésként merül fel az is, hogy jelentkezik-e különbség ebben az iskolák szociális háttere, vagy regionális elhelyezkedése szerint.</w:t>
      </w:r>
    </w:p>
    <w:p>
      <w:pPr>
        <w:widowControl w:val="on"/>
        <w:pBdr/>
        <w:spacing w:before="240" w:after="240" w:line="240" w:lineRule="auto"/>
        <w:ind w:left="0" w:right="0"/>
        <w:jc w:val="left"/>
      </w:pPr>
      <w:r>
        <w:rPr>
          <w:color w:val="000000"/>
          <w:sz w:val="24"/>
          <w:szCs w:val="24"/>
        </w:rPr>
        <w:t xml:space="preserve">Hipotéziseink: 1, Feltételezzük, hogy a megkérdezettek csak részben ismerik az iskolai testnevelés és sport NAT-ban megfogalmazott céljait. Mindegyik megkérdezett csoport leginkább az egészséges életmóddal kapcsolatos ismeretekkel van tisztában. 2, Feltételezzük, hogy az ismeretek szintje független az adott iskola szociális és társadalmi hátterétől (családi háttér index) és a földrajzi elhelyezkedésétől (régió).</w:t>
      </w:r>
    </w:p>
    <w:p>
      <w:pPr>
        <w:widowControl w:val="on"/>
        <w:pBdr/>
        <w:spacing w:before="240" w:after="240" w:line="240" w:lineRule="auto"/>
        <w:ind w:left="0" w:right="0"/>
        <w:jc w:val="left"/>
      </w:pPr>
      <w:r>
        <w:rPr>
          <w:color w:val="000000"/>
          <w:sz w:val="24"/>
          <w:szCs w:val="24"/>
        </w:rPr>
        <w:t xml:space="preserve">Egész országra kiterjedő, többszörösen rétegzett mintavétellel dolgoztunk. Minden magyarországi régióból vizsgáltunk 3-3 6. és 10. évfolyamot, 3 meghatározott családi háttér-indexű (cshi) iskolából. A minta létszáma: diák (n=1619), szüleik (n=195), testnevelő tanáraik (n=37) és nem testnevelő szakos tanáraik (n=71). Kutatásunk eszköze az online kérdőív volt. Adatfeldolgozási módszereink: kereszttábla, Chi2 próba, Spearman korreláció.</w:t>
      </w:r>
    </w:p>
    <w:p>
      <w:pPr>
        <w:widowControl w:val="on"/>
        <w:pBdr/>
        <w:spacing w:before="240" w:after="240" w:line="240" w:lineRule="auto"/>
        <w:ind w:left="0" w:right="0"/>
        <w:jc w:val="left"/>
      </w:pPr>
      <w:r>
        <w:rPr>
          <w:color w:val="000000"/>
          <w:sz w:val="24"/>
          <w:szCs w:val="24"/>
        </w:rPr>
        <w:t xml:space="preserve">Megállapítottuk, hogy a diákok, szüleik és a nem testnevelő tanárok ismeretei a testnevelés céljairól és feladatairól hiányosak és elsősorban az egészség témakörére terjednek ki. A testnevelők legtöbben, a személyiségfejlesztéssel kapcsolatban fogalmaztak meg célokat.</w:t>
      </w:r>
    </w:p>
    <w:p>
      <w:pPr>
        <w:widowControl w:val="on"/>
        <w:pBdr/>
        <w:spacing w:before="240" w:after="240" w:line="240" w:lineRule="auto"/>
        <w:ind w:left="0" w:right="0"/>
        <w:jc w:val="left"/>
      </w:pPr>
      <w:r>
        <w:rPr>
          <w:color w:val="000000"/>
          <w:sz w:val="24"/>
          <w:szCs w:val="24"/>
        </w:rPr>
        <w:t xml:space="preserve">Cshi szerint vizsgálva a felnőttek válaszai között nincs szignifikáns különbség, de a szülői eredmények nem elemezhetők. A cshi szerint jó iskolák diákjainak, szignifikánsan (Chi2=6,691, df=1, p=,010) több a személyiségfejlesztésre vonatkozó ismerete. Azt valószínűsítjük, hogy ez a különbség nem az iskolák hatékonyságából, hanem a diákok életének egyéb (pl.: család) színtereiből fakad.</w:t>
      </w:r>
    </w:p>
    <w:p>
      <w:pPr>
        <w:widowControl w:val="on"/>
        <w:pBdr/>
        <w:spacing w:before="240" w:after="240" w:line="240" w:lineRule="auto"/>
        <w:ind w:left="0" w:right="0"/>
        <w:jc w:val="left"/>
      </w:pPr>
      <w:r>
        <w:rPr>
          <w:color w:val="000000"/>
          <w:sz w:val="24"/>
          <w:szCs w:val="24"/>
        </w:rPr>
        <w:t xml:space="preserve">Régiók szerint a testnevelők és a szülők csoportja homogén. Ugyanakkor a különböző régiók diákjai és más szakos tanárai - mind a három fogalomkör ismereteit tekintve más-más -, szignifikánsan különböző csoportokra bonthatók. Összességében a diákok ismeretei Közép-Magyarországon, a más szakos tanárokéi az Észak-alföldi és a Közép-dunántúli régiókban a legszéleskörűbbek. Gyenge régió mindkét csoportban Budapest. A testnevelés hatékonyságának növelése érdekében fontos feladatnak gondoljuk – különösen a lemaradó régiókban -, az ismeretek bővítését. Ez elsősorban a testnevelő tanárok feladata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97398">
    <w:multiLevelType w:val="hybridMultilevel"/>
    <w:lvl w:ilvl="0" w:tplc="73751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97398">
    <w:abstractNumId w:val="77997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87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