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SZILVIA SÜLE</w:t>
            </w:r>
          </w:p>
          <w:p w:rsidR="00C275A3" w:rsidRDefault="00A96AEC" w:rsidP="00C275A3">
            <w:pPr>
              <w:pStyle w:val="Hallgatokepzes"/>
            </w:pPr>
            <w:r>
              <w:t>Physical Education - Health Promotion Teacher</w:t>
            </w:r>
            <w:r>
              <w:br/>
            </w:r>
            <w:r w:rsidR="00E77B23">
              <w:t>MA, 3. semester</w:t>
            </w:r>
          </w:p>
          <w:p w:rsidR="00C265CE" w:rsidRPr="009E5FF1" w:rsidRDefault="00E77B23" w:rsidP="00C275A3">
            <w:pPr>
              <w:pStyle w:val="Hallgatokepzes"/>
              <w:rPr>
                <w:b/>
                <w:caps/>
              </w:rPr>
            </w:pPr>
            <w:r>
              <w:t>University of West Hungary</w:t>
            </w:r>
            <w:r w:rsidR="00C275A3">
              <w:br/>
            </w:r>
            <w:r w:rsidR="00DB4822">
              <w:t>Faculty of Visual Arts and Music, Education and Sport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Tibor Polgár</w:t>
            </w:r>
          </w:p>
          <w:p w:rsidR="00DB4822" w:rsidRDefault="00DB4822" w:rsidP="00E11062">
            <w:pPr>
              <w:pStyle w:val="Konzulensek"/>
            </w:pPr>
            <w:r w:rsidRPr="00DB4822">
              <w:t>associate professor, NYME MNSK</w:t>
            </w:r>
          </w:p>
        </w:tc>
      </w:tr>
      <w:tr w:rsidR="00DB4822" w:rsidTr="00DB4822">
        <w:tc>
          <w:tcPr>
            <w:tcW w:w="9854" w:type="dxa"/>
          </w:tcPr>
          <w:p w:rsidR="00DB4822" w:rsidRPr="00DB4822" w:rsidRDefault="00DB4822" w:rsidP="004D7940">
            <w:pPr>
              <w:pStyle w:val="Konzulensek"/>
            </w:pPr>
            <w:r w:rsidRPr="00DB4822">
              <w:t>Dr. Mihály Gáspár</w:t>
            </w:r>
          </w:p>
          <w:p w:rsidR="00DB4822" w:rsidRDefault="00DB4822" w:rsidP="00E11062">
            <w:pPr>
              <w:pStyle w:val="Konzulensek"/>
            </w:pPr>
            <w:r w:rsidRPr="00DB4822">
              <w:t>professor, NYME MNSK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Motivation of athletes of Szombathely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our recent research the interior and exterior motivational factors were examined owned by the young athletes, and we also investigated their tackling skills. 96 athletes participated in the research, 51 boys, and 54 girls. The examined group categories were made up of children (25) and juveniles (39) and juniors (32).</w:t>
      </w:r>
      <w:r>
        <w:rPr>
          <w:color w:val="000000"/>
          <w:sz w:val="24"/>
          <w:szCs w:val="24"/>
        </w:rPr>
        <w:br/>
        <w:t xml:space="preserve">The motivation of the athletes was examined by the Sport Motivation Scale and I also used the Athletic Coping Inventory 28 which questionnaire is able to measure tackling skill. We assumed that the motivational factors had the main effect on the activity of the athletes. We also assumed that their tackling base was in connection with their efficiency. They have much more inner motivational orientation, but this difference is not significant.</w:t>
      </w:r>
      <w:r>
        <w:rPr>
          <w:color w:val="000000"/>
          <w:sz w:val="24"/>
          <w:szCs w:val="24"/>
        </w:rPr>
        <w:br/>
        <w:t xml:space="preserve">In conformity with our pieces of data, in the analyzed age the practical objective result is not related to the measured motivation and tackling skill. “Good competitors” have a bigger motivational perspective and a better skill of tackling, than the weak ones.</w:t>
      </w:r>
      <w:r>
        <w:rPr>
          <w:color w:val="000000"/>
          <w:sz w:val="24"/>
          <w:szCs w:val="24"/>
        </w:rPr>
        <w:br/>
        <w:t xml:space="preserve">The result shows, that the efficiency depends on the subscale of the tackling skill that is called the coach guidance. Actually, that can be the main message of this research. According to this, improving personality and mostly tackling skill and the level of motivation mean just the same duties for a coach as improving practical results. This is also true specifically in the case of juniors and children in long terms. The real coaching efficiency can turn out at the adult competitions, instead of the classified ones.</w:t>
      </w:r>
      <w:r>
        <w:rPr>
          <w:color w:val="000000"/>
          <w:sz w:val="24"/>
          <w:szCs w:val="24"/>
        </w:rPr>
        <w:br/>
        <w:t xml:space="preserve">Key words: Athleics, Motivation, Sport Motivational Scale, Tackling strategy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378281">
    <w:multiLevelType w:val="hybridMultilevel"/>
    <w:lvl w:ilvl="0" w:tplc="805534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378281">
    <w:abstractNumId w:val="703782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81012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