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MILAN JANOSOV</w:t>
            </w:r>
          </w:p>
          <w:p w:rsidR="00C275A3" w:rsidRDefault="00A96AEC" w:rsidP="00C275A3">
            <w:pPr>
              <w:pStyle w:val="Hallgatokepzes"/>
            </w:pPr>
            <w:r>
              <w:t>Physics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Petrik</w:t>
            </w:r>
          </w:p>
          <w:p w:rsidR="00DB4822" w:rsidRDefault="00DB4822" w:rsidP="00E11062">
            <w:pPr>
              <w:pStyle w:val="Konzulensek"/>
            </w:pPr>
            <w:r w:rsidRPr="00DB4822">
              <w:t>Head of laboratory, </w:t>
            </w:r>
          </w:p>
        </w:tc>
      </w:tr>
      <w:tr w:rsidR="00DB4822" w:rsidTr="00DB4822">
        <w:tc>
          <w:tcPr>
            <w:tcW w:w="9854" w:type="dxa"/>
          </w:tcPr>
          <w:p w:rsidR="00DB4822" w:rsidRPr="00DB4822" w:rsidRDefault="00DB4822" w:rsidP="004D7940">
            <w:pPr>
              <w:pStyle w:val="Konzulensek"/>
            </w:pPr>
            <w:r w:rsidRPr="00DB4822">
              <w:t>Robert Horvath</w:t>
            </w:r>
          </w:p>
          <w:p w:rsidR="00DB4822" w:rsidRDefault="00DB4822" w:rsidP="00E11062">
            <w:pPr>
              <w:pStyle w:val="Konzulensek"/>
            </w:pPr>
            <w:r w:rsidRPr="00DB4822">
              <w:t>Head of laboratory,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Spectroscopic ellipsometry - grating coupled interferometry: combined optical device for nano- and biosensing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would like to present a combined sensor configuration of spectroscopic ellipsometry (SE) and grating coupled interferometry (GCI), which allows parallel measurements on the same area of interest, while the advantages of both devices are being utilized. The independent and simultaneous measurements are performed on a waveguiding substrate, onto which a liquid cell is mounted. GCI that measures the changes of the effective permittivity in a few of hundreds nanometer thick region above the waveguide surface, allows the detection of changes in ambient refractive index with a sensitivity of ~10</w:t>
      </w:r>
      <w:r>
        <w:rPr>
          <w:color w:val="000000"/>
          <w:position w:val="4"/>
          <w:sz w:val="21"/>
          <w:szCs w:val="21"/>
          <w:vertAlign w:val="superscript"/>
        </w:rPr>
        <w:t xml:space="preserve">-8</w:t>
      </w:r>
      <w:r>
        <w:rPr>
          <w:color w:val="000000"/>
          <w:sz w:val="24"/>
          <w:szCs w:val="24"/>
        </w:rPr>
        <w:t xml:space="preserve">, and it is able to follow the surface mass density evolution of a layer being deposited onto the waveguide surface with ~0.01pg/mm</w:t>
      </w:r>
      <w:r>
        <w:rPr>
          <w:color w:val="000000"/>
          <w:position w:val="4"/>
          <w:sz w:val="21"/>
          <w:szCs w:val="21"/>
          <w:vertAlign w:val="superscript"/>
        </w:rPr>
        <w:t xml:space="preserve">2</w:t>
      </w:r>
      <w:r>
        <w:rPr>
          <w:color w:val="000000"/>
          <w:sz w:val="24"/>
          <w:szCs w:val="24"/>
        </w:rPr>
        <w:t xml:space="preserve"> resolution. Simultaneously with the GCI measurement, ellipsometry measures the same area from the other side of the waveguide, through the liquid cell. The sensitivity of ellipsometry for refractive index and surface mass density changes is in this configuration orders of magnitude less, ~10</w:t>
      </w:r>
      <w:r>
        <w:rPr>
          <w:color w:val="000000"/>
          <w:position w:val="4"/>
          <w:sz w:val="21"/>
          <w:szCs w:val="21"/>
          <w:vertAlign w:val="superscript"/>
        </w:rPr>
        <w:t xml:space="preserve">-4</w:t>
      </w:r>
      <w:r>
        <w:rPr>
          <w:color w:val="000000"/>
          <w:sz w:val="24"/>
          <w:szCs w:val="24"/>
        </w:rPr>
        <w:t xml:space="preserve"> and ~10pg/mm</w:t>
      </w:r>
      <w:r>
        <w:rPr>
          <w:color w:val="000000"/>
          <w:position w:val="4"/>
          <w:sz w:val="21"/>
          <w:szCs w:val="21"/>
          <w:vertAlign w:val="superscript"/>
        </w:rPr>
        <w:t xml:space="preserve">2</w:t>
      </w:r>
      <w:r>
        <w:rPr>
          <w:color w:val="000000"/>
          <w:sz w:val="24"/>
          <w:szCs w:val="24"/>
        </w:rPr>
        <w:t xml:space="preserve">, respectively, than that of GCI. However, being a spectroscopic method, the amount of measured data is huge, which enables the development of complex optical models for the structure forming on the sample surface. Furthermore, measuring from the liquid size, ellipsometry can overcome the limitation of GCI in terms of the limited penetration depth of evanescent field. In the presented configuration both methods can serve as 'calibration reference' for the other, aiming at an improved absolute accuracy. In contrast to conventional waveguiding methods GCI does not use moving mechanical components for the measurement. Using rotating compensator ellipsometry with photoelastic modulator the moving mechanical components can also be avoided for ellipsometry. These features result a combined tool with no mechanical vibration and cross-talk between the components, significantly reducing the noise. A temporal resolution of better than 100 ms can be achieved for both techniques.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77868">
    <w:multiLevelType w:val="hybridMultilevel"/>
    <w:lvl w:ilvl="0" w:tplc="28788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77868">
    <w:abstractNumId w:val="902778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180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