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DORA DEBNAR</w:t>
            </w:r>
          </w:p>
          <w:p w:rsidR="00C275A3" w:rsidRDefault="00A96AEC" w:rsidP="00C275A3">
            <w:pPr>
              <w:pStyle w:val="Hallgatokepzes"/>
            </w:pPr>
            <w:r>
              <w:t>Ethnography</w:t>
            </w:r>
            <w:r>
              <w:br/>
            </w:r>
            <w:r w:rsidR="00E77B23">
              <w:t>MA,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Veronika Lajos</w:t>
            </w:r>
          </w:p>
          <w:p w:rsidR="00DB4822" w:rsidRDefault="00DB4822" w:rsidP="00E11062">
            <w:pPr>
              <w:pStyle w:val="Konzulensek"/>
            </w:pPr>
            <w:r w:rsidRPr="00DB4822">
              <w:t>Research Fellow,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Correlations Between Use of Objects and Feeling at Home in a Dormitory of the University of Debrecen,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Feel at Home Here, but I Go Home There.’ Correlations Between Use of Objects and Feeling at Home in a Dormitory of the University of Debrecen, Hungary</w:t>
      </w:r>
    </w:p>
    <w:p>
      <w:pPr>
        <w:pBdr/>
        <w:spacing w:before="240" w:after="240" w:line="240" w:lineRule="auto"/>
        <w:ind w:left="0" w:right="0"/>
        <w:jc w:val="left"/>
      </w:pPr>
      <w:r>
        <w:rPr>
          <w:color w:val="000000"/>
          <w:sz w:val="24"/>
          <w:szCs w:val="24"/>
        </w:rPr>
        <w:t xml:space="preserve">The research took place in Debrecen, between April 2012 and October 2012. The paper is based on 15 interviews with 15 girls from the so-called Kossuth Lajos Dormitory Nr. 3. of the University of Debrecen, Hungary. The study is focused on the attitude of girls – all of them are students at the University of Debrecen - towards their own objects and belongings in their dormitory rooms.</w:t>
      </w:r>
    </w:p>
    <w:p>
      <w:pPr>
        <w:pBdr/>
        <w:spacing w:before="240" w:after="240" w:line="240" w:lineRule="auto"/>
        <w:ind w:left="0" w:right="0"/>
        <w:jc w:val="left"/>
      </w:pPr>
      <w:r>
        <w:rPr>
          <w:color w:val="000000"/>
          <w:sz w:val="24"/>
          <w:szCs w:val="24"/>
        </w:rPr>
        <w:t xml:space="preserve">The aim of this paper is to present that the consumer society provides an opportunity to everyone to develop a world of objects on their own. In the interest of demonstrating differences of the attitudes, I describe and analyze 4 main ways in which the girls approach objects in their dormitory rooms.</w:t>
      </w:r>
    </w:p>
    <w:p>
      <w:pPr>
        <w:pBdr/>
        <w:spacing w:before="240" w:after="240" w:line="240" w:lineRule="auto"/>
        <w:ind w:left="0" w:right="0"/>
        <w:jc w:val="left"/>
      </w:pPr>
      <w:r>
        <w:rPr>
          <w:color w:val="000000"/>
          <w:sz w:val="24"/>
          <w:szCs w:val="24"/>
        </w:rPr>
        <w:t xml:space="preserve">The attitudes of people in a consumer society towards the objects in their possession are not homogenous. Although there is a dominant way in which individuals approach and use objects in everyday interactions, there are certain differences in the main trend.</w:t>
      </w:r>
    </w:p>
    <w:p>
      <w:pPr>
        <w:pBdr/>
        <w:spacing w:before="240" w:after="240" w:line="240" w:lineRule="auto"/>
        <w:ind w:left="0" w:right="0"/>
        <w:jc w:val="left"/>
      </w:pPr>
      <w:r>
        <w:rPr>
          <w:color w:val="000000"/>
          <w:sz w:val="24"/>
          <w:szCs w:val="24"/>
        </w:rPr>
        <w:t xml:space="preserve">The consumer society itself does not consist of a mass of faceless consumers. That is why meanings associated to objects are also characterized by the viewpoints of individual consumers. Individual needs vary from consumer to consumer. Members of a consumer society differ from each other due to cultural and social factors. Social status, worldviews and even lifestyle are presented in the types of objects students bring to a dormitory.</w:t>
      </w:r>
    </w:p>
    <w:p>
      <w:pPr>
        <w:pBdr/>
        <w:spacing w:before="240" w:after="240" w:line="240" w:lineRule="auto"/>
        <w:ind w:left="0" w:right="0"/>
        <w:jc w:val="left"/>
      </w:pPr>
      <w:r>
        <w:rPr>
          <w:color w:val="000000"/>
          <w:sz w:val="24"/>
          <w:szCs w:val="24"/>
        </w:rPr>
        <w:t xml:space="preserve">Students, living in the dormitory, often depend on their parents in financial matters. In spite of lack of financial independence, all students have an opportunity to create a specific attitude towards consumption and objects.</w:t>
      </w:r>
    </w:p>
    <w:p>
      <w:pPr>
        <w:pBdr/>
        <w:spacing w:before="240" w:after="240" w:line="240" w:lineRule="auto"/>
        <w:ind w:left="0" w:right="0"/>
        <w:jc w:val="left"/>
      </w:pPr>
      <w:r>
        <w:rPr>
          <w:color w:val="000000"/>
          <w:sz w:val="24"/>
          <w:szCs w:val="24"/>
        </w:rPr>
        <w:t xml:space="preserve">Students bring various types of objects in the dormitory rooms. Their personal objects can help them to create an atmosphere in the dormitory room where one can feel safe and comfortable, just like at home. In the dormitory rooms the objects possessed by the students lose their original contexts, but the guiding principle of their order remains the same. The feeling of being at home in a dormitory environment is related to presence or absence of personal objects. Therefore it is important to note that the objects can gain a transcendent value, in addition to a strong emotional attachment. It seems to be proven that the issue of familiarity is not always related to the number of objects in a dormitory room.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15148">
    <w:multiLevelType w:val="hybridMultilevel"/>
    <w:lvl w:ilvl="0" w:tplc="56896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15148">
    <w:abstractNumId w:val="331151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543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