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HAL</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Purebl Dr. </w:t>
            </w:r>
          </w:p>
          <w:p w:rsidR="00DB4822" w:rsidRDefault="00DB4822" w:rsidP="00E11062">
            <w:pPr>
              <w:pStyle w:val="Konzulensek"/>
            </w:pPr>
            <w:r w:rsidRPr="00DB4822">
              <w:t>PHD,  Semmelweis University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Analysis of the individual differences in comorbidity of the anxiety disorder and chronic headache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 Analysis of the individual differences in comorbidity of the anxiety disorder and chronic headache</w:t>
      </w:r>
    </w:p>
    <w:p>
      <w:pPr>
        <w:widowControl w:val="on"/>
        <w:pBdr/>
        <w:spacing w:before="240" w:after="240" w:line="240" w:lineRule="auto"/>
        <w:ind w:left="0" w:right="0"/>
        <w:jc w:val="left"/>
      </w:pPr>
      <w:r>
        <w:rPr>
          <w:color w:val="000000"/>
          <w:sz w:val="24"/>
          <w:szCs w:val="24"/>
        </w:rPr>
        <w:br/>
        <w:t xml:space="preserve">The main reason of this study, is to reveal the psychological differences behind the chronic headaches, focused on anxiety, and anxiety disorder. Furthermore this study is focused on the individual differences of the investigational groups. The individual differences between the three groups (headache in treatment, headache without treatment, control group) could be considered as a new results of a slightly examined domain. The main question is this: Are there any individual differences, which are related more typically to persons with headache, rather than persons without this complaint? The questionnaries and measures presented henceforward are not only able to reveal the connection between anxiety and headache. With a personality questiaonnaire it can define the individual differences behind the groups and morbidity. The measures of the analysis substantiate the comorbidity between anxiety and chronic headache, and the individual differences between the three investigational group. The group without headache has the most higher and the control group has the lowest anxiety rate. There is a difference between the three groups in extroversion. The most extrovert is the control group, middle-extrovert is the group with headache without treatment, and least of all extorvert the group with headache in treatment. This research opens new aspects in the psychosomatic field. According to the results we can separate persons with or without headache by the rate of the anxiety disorder and the rate of their headache.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14575">
    <w:multiLevelType w:val="hybridMultilevel"/>
    <w:lvl w:ilvl="0" w:tplc="43712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14575">
    <w:abstractNumId w:val="72414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41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