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RAUSCH</w:t>
            </w:r>
          </w:p>
          <w:p w:rsidR="00C275A3" w:rsidRDefault="00A96AEC" w:rsidP="00C275A3">
            <w:pPr>
              <w:pStyle w:val="Hallgatokepzes"/>
            </w:pPr>
            <w:r>
              <w:t>Educational Science MA</w:t>
            </w:r>
            <w:r>
              <w:br/>
            </w:r>
            <w:r w:rsidR="00E77B23">
              <w:t>MA, 13.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Balazs Fejes</w:t>
            </w:r>
          </w:p>
          <w:p w:rsidR="00DB4822" w:rsidRDefault="00DB4822" w:rsidP="00E11062">
            <w:pPr>
              <w:pStyle w:val="Konzulensek"/>
            </w:pPr>
            <w:r w:rsidRPr="00DB4822">
              <w:t>junior 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characteristics about school and peer relationships of children and youth growing up in child protective services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important to solve school problems of children and youth growing up in child protection, because their social integration is very difficult without successfully completed studies. To organise adequate interventions for this group, we need to know, what kind of significant differences are there between students living in child protection and students raised in their own family. In my research I revealed some characteristics of children and youth, growing up in child protection, about context of the school, school-community and peer relationships. The sample is 108 children and youth, between the age 10 and 20, they are living in institution, group homes or with foster parents. I analysed their educational background factors using the collected data about their mastery motivation, peer relationships, the relation to the school community, which has serious influence on school effectiveness. The results are compared with data of national measurements on representative samples. It turned out that the mastery motives are decreasing more with school grades and ages for the children living in child care. We can identify variabilities between the different types of child protective institutions, for example in the planned educational level. The career choice of the respondents is mostly influenced by caregivers or foster parents. Examining the school community and peer relationships, there is not detectable difference between children living in child care and children living with their own family. However, children and youth growing up in child care are involved in fights more than the majority of students. The empirical results of this study are making more understandable the educational background of this special kind of students, and they are helping reduce disadvantages and assisting in successful social integration.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89183">
    <w:multiLevelType w:val="hybridMultilevel"/>
    <w:lvl w:ilvl="0" w:tplc="55523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89183">
    <w:abstractNumId w:val="39389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326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