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LÁSZLÓ KOVÁCS</w:t>
            </w:r>
          </w:p>
          <w:p w:rsidR="00C275A3" w:rsidRDefault="00A96AEC" w:rsidP="00C275A3">
            <w:pPr>
              <w:pStyle w:val="Hallgatokepzes"/>
            </w:pPr>
            <w:r>
              <w:t>Judaism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Jewish Theological Seminary – University of Jewish Studies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Gyorgy Gador dr.</w:t>
            </w:r>
          </w:p>
          <w:p w:rsidR="00DB4822" w:rsidRDefault="00DB4822" w:rsidP="00E11062">
            <w:pPr>
              <w:pStyle w:val="Konzulensek"/>
            </w:pPr>
            <w:r w:rsidRPr="00DB4822">
              <w:t>teacher, OR-ZSE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Graphical representation of Jewish symbols (emblem of the region through the street Páva)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graphic representation of jewish symbols through the emblem of the Páva street synagogue.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analysis of graphic elements and their connection With Tora.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jews of the world are connected by learning and common prayer.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chain of tradition.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Where mortal and and immortal meet.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We are accomparried by the number ten from birth to death.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May beauty accompany our work and our life.May the force support us and may wisdom lead the way for us!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78058">
    <w:multiLevelType w:val="hybridMultilevel"/>
    <w:lvl w:ilvl="0" w:tplc="26382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78058">
    <w:abstractNumId w:val="51078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221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