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BORÓKA TAKÁCS</w:t>
            </w:r>
          </w:p>
          <w:p w:rsidR="00C275A3" w:rsidRDefault="00A96AEC" w:rsidP="00C275A3">
            <w:pPr>
              <w:pStyle w:val="Hallgatokepzes"/>
            </w:pPr>
            <w:r>
              <w:t>Romanistic - French</w:t>
            </w:r>
            <w:r>
              <w:br/>
            </w:r>
            <w:r w:rsidR="00E77B23">
              <w:t>BA, 5.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István Csűry, PhD </w:t>
            </w:r>
          </w:p>
          <w:p w:rsidR="00DB4822" w:rsidRDefault="00DB4822" w:rsidP="00E11062">
            <w:pPr>
              <w:pStyle w:val="Konzulensek"/>
            </w:pPr>
            <w:r w:rsidRPr="00DB4822">
              <w:t> associate professor ,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Description of scenarios and ontology development based on French literary texts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propos de certaines œuvres de littérature du XXe siècle (ou contemporaines), on rencontre souvent des jugements d’incompréhension ou d’incompréhensibilité. Puisque ces œuvres littéraires ne sont plus interprétables avec les techniques connues, le lecteur doit chercher une autre solution, de nouveaux « repères » pour la compréhension. Et ce n’est pas seulement une question d’esthétique littéraire mais – et avant tout – un problème de langue et de communication.</w:t>
      </w:r>
      <w:r>
        <w:rPr>
          <w:color w:val="000000"/>
          <w:sz w:val="24"/>
          <w:szCs w:val="24"/>
        </w:rPr>
        <w:br/>
        <w:t xml:space="preserve">En examinant, dans une approche contrastive, deux textes littéraires de Marguerite Duras, L’amour et L’amante anglaise, j’observerai la présence et/ou le manque des repères de la compréhension qui sont codés dans les formes linguistiques et qui évoquent des schémas conceptuels et des (éléments de) scénarios (Schank – Abelson 1977).</w:t>
      </w:r>
      <w:r>
        <w:rPr>
          <w:color w:val="000000"/>
          <w:sz w:val="24"/>
          <w:szCs w:val="24"/>
        </w:rPr>
        <w:br/>
        <w:t xml:space="preserve">Comme le confirme l’expérience quotidienne, quand nous essayons d’analyser et de comprendre des interactions, en nous appuyant, à part notre compétence linguistique, sur nos connaissances préalables sur le monde, nous sommes capables de construire des hypothèses – plus ou moins fiables – sur les antécédents, les conditions, les caractéristiques, les étapes et les suites ou les conséquences de la situation, de l’interaction ou le discours donnés. Cette procédure d’inférence et d’anticipation peut fonctionner grâce à nos schémas conceptuels et les scénarios qui nous sont connus, qui, dans la plupart des cas, dépendent de la culture et qui sont déterminés socialement. À la base de ces connaissances, nous pouvons ébaucher le déroulement « normal », habituel et typique des interactions.</w:t>
      </w:r>
      <w:r>
        <w:rPr>
          <w:color w:val="000000"/>
          <w:sz w:val="24"/>
          <w:szCs w:val="24"/>
        </w:rPr>
        <w:br/>
        <w:t xml:space="preserve">C’est avant tout en appliquant les schémas activés par les éléments clés de leur vocabulaire et les scénarios qu’ils permettent de construire que nous nous efforçons de prêter sens aux discours, même dans le cas des œuvres littéraires évoquées. Le contraire est également vrai : les discours et les interactions observés ou vécus nous apprennent des choses par lesquelles nous complétons nos schémas conceptuels. Sur le plan analytique (et technique), cela correspond au développement d’ontologies (existants ou nouveaux).</w:t>
      </w:r>
      <w:r>
        <w:rPr>
          <w:color w:val="000000"/>
          <w:sz w:val="24"/>
          <w:szCs w:val="24"/>
        </w:rPr>
        <w:br/>
        <w:t xml:space="preserve">Le but de mon mémoire est, d’une part, d’examiner le rôle des schémas conceptuels et des scénarios dans la compréhension (ou l’interprétation) de textes littéraires pris comme exemples de discours « difficile/facile à comprendre », et, d’autre part, de (re)construire et/ou de compléter certains éléments de l’ontologie sous-jacente.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761175">
    <w:multiLevelType w:val="hybridMultilevel"/>
    <w:lvl w:ilvl="0" w:tplc="514153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761175">
    <w:abstractNumId w:val="6676117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77280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