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POSTA</w:t>
            </w:r>
          </w:p>
          <w:p w:rsidR="00C275A3" w:rsidRDefault="00A96AEC" w:rsidP="00C275A3">
            <w:pPr>
              <w:pStyle w:val="Hallgatokepzes"/>
            </w:pPr>
            <w:r>
              <w:t>Hungarian language and literature-Latin teacher</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Imre</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following Latin poem series of the 1565 Bonfini edition of Kolozsvár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section about the age of the Hunyadis in Antonio Bonfini’s histrocial work, Rerum Hungaricarum Decades, was first published in 1565, in Kolozsvár, Hungary. The publication was handled by Gáspár Heltai. His help was Szikszai Fabricius Balázs, who wrote the preface and also had his students write poems to the volume. The focus of my research is primarily on the cycles of poems written in Latin. In this paper I want to draw a clear image about the poems’ attitude towards King Matthias and the people of Hungary. In Italy the myth about King Matthias developed in the 15th century. The elements of the myth can be discovered in the poems in the forementioned work of Bonfini. The first part of my essay is about the portrait of King Matthias depicted in the poems written in Latin. In the second part, the double myth of origin – which says that the Hungarian people can be originated from both the Huns and the Greek Paeons – is being discussed. On the basis of the analyzed poems, I will draw the clear conclusion that the portrayal of King Matthias and the people of Hungary has a Western European approach.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27305">
    <w:multiLevelType w:val="hybridMultilevel"/>
    <w:lvl w:ilvl="0" w:tplc="50914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27305">
    <w:abstractNumId w:val="89127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624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