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IVANCSÓ</w:t>
            </w:r>
          </w:p>
          <w:p w:rsidR="00C275A3" w:rsidRDefault="00A96AEC" w:rsidP="00C275A3">
            <w:pPr>
              <w:pStyle w:val="Hallgatokepzes"/>
            </w:pPr>
            <w:r>
              <w:t>Hungarian language and literarure</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Tamás Fazakas</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is the man who lives and shall not see death?” – 18th century Catholic funeral sermons in a collection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research of 18th century Catholic funeral sermons – concerning both Lutheran and Catholic sermons – was not significant until nowadays. From the recent researches it is worthwhile to mention studies of Zsófia V. László, also her dissertation which examines the change in women’s role in protestant funeral sermons delivered between 1711 and 1825. The simplified aspect of her research is the following: she chooses protestant sermons to his examination according to the principles of historie des mentalities. The elaboration of 18th century Catholic funeral sermons from an aspect similar to the above mentioned is still missing.</w:t>
      </w:r>
      <w:r>
        <w:rPr>
          <w:color w:val="000000"/>
          <w:sz w:val="24"/>
          <w:szCs w:val="24"/>
        </w:rPr>
        <w:br/>
        <w:t xml:space="preserve">My method of examination is similar to that of Zsófia V. László, however, it also differs from it, since my primarily examined funeral sermons are bound in an 18th century collection. So I did not choose sermons according to one or more already known or previously appointed subject from the 18th century Catholic funeral sermons, but this collection offered such coherent examination aspects which are not sure to be recognized without the sermons being bound in the same volume.</w:t>
      </w:r>
      <w:r>
        <w:rPr>
          <w:color w:val="000000"/>
          <w:sz w:val="24"/>
          <w:szCs w:val="24"/>
        </w:rPr>
        <w:br/>
        <w:t xml:space="preserve">It was raised on the basis of the aspects becoming distinct through comparing the items of the collection that I should try to indentify some kind of awareness or perhaps conception concerning the binding of the sermons.</w:t>
      </w:r>
      <w:r>
        <w:rPr>
          <w:color w:val="000000"/>
          <w:sz w:val="24"/>
          <w:szCs w:val="24"/>
        </w:rPr>
        <w:br/>
        <w:t xml:space="preserve">Conciones Variae is the title that is on the spine of the collection, which was printed between 1698 and 1769 and contains Latin and Hungarian funeral sermons, and Hungarian ones for other occasions, some of which I examine according to the following aspects: 1. Whether the binding was thematic or accidental. 2. The use of the argument deduced from the name of the dead in the argumentation in the 18th century Catholic sermons. 3. The persuasion of audience of the importance of good death on the basis of the doctrines of the Catholic Church.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55992">
    <w:multiLevelType w:val="hybridMultilevel"/>
    <w:lvl w:ilvl="0" w:tplc="66578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55992">
    <w:abstractNumId w:val="197559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743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