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HERMINA GESZTELYI</w:t>
            </w:r>
          </w:p>
          <w:p w:rsidR="00C275A3" w:rsidRDefault="00A96AEC" w:rsidP="00C275A3">
            <w:pPr>
              <w:pStyle w:val="Hallgatokepzes"/>
            </w:pPr>
            <w:r>
              <w:t>Hungarian Language and Literature</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Fazakas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self-representation of Kata Bethlen in the context of the self and the community representation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relation to Kata Bethlen it can be said that her texts, textile works, library, healing and patronal activities were observed by many people from various aspects. That is why the picture of Kata Bethlen was changing all the time, and so it is in a permanent motion. From the activities mentioned above, so far I was highlighting two, which were her writings and gifts to the Church. In this work I was examining these factors and I was trying to find the most important definiteness’s and cultural samples, as they had important effects on the process of creation. The aspect of examining the texts and the donations together can shade the current picture of Kata Bethlen and can give more information about the reformed patroness.</w:t>
      </w:r>
    </w:p>
    <w:p>
      <w:pPr>
        <w:pBdr/>
        <w:spacing w:before="240" w:after="240" w:line="240" w:lineRule="auto"/>
        <w:ind w:left="0" w:right="0"/>
        <w:jc w:val="left"/>
      </w:pPr>
      <w:r>
        <w:rPr>
          <w:color w:val="000000"/>
          <w:sz w:val="24"/>
          <w:szCs w:val="24"/>
        </w:rPr>
        <w:t xml:space="preserve">I find the common examination of these donations and texts justified, because as I see these are all serving teaching and exemplariness’s; and together they make this intention more transparent. These works appeared in two different media and can be related to two different situations, but the interpretation of the works created by a common goal helps each other in connection with representation. But self- and public representation is just a part of a broader context in which I am examining the texts and donations. It is important to highlight the most important historical and family related definiteness’s and discover those samples that might have an effect on Kata Bethlen directly or indirectly. Also, it is important to point out that in the creation of this construction her closest environment (mostly her priests in the court) had an important role.</w:t>
      </w:r>
    </w:p>
    <w:p>
      <w:pPr>
        <w:pBdr/>
        <w:spacing w:before="240" w:after="240" w:line="240" w:lineRule="auto"/>
        <w:ind w:left="0" w:right="0"/>
        <w:jc w:val="left"/>
      </w:pPr>
      <w:r>
        <w:rPr>
          <w:color w:val="000000"/>
          <w:sz w:val="24"/>
          <w:szCs w:val="24"/>
        </w:rPr>
        <w:t xml:space="preserve">What is new in my research is the aspect of trying to examine the exemplariness’s of the texts and donations together, mainly from the representation of the denomination. This can be done with the help of the discovery of different traditions in her texts, the analysis of the texts, examination of common motifs and in the case of donations the examination of the different patterns and labels. To interpret all these together the best occasion is given by the congregate of Hévíz, as exemplariness and its aspects could prevail the most 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66513">
    <w:multiLevelType w:val="hybridMultilevel"/>
    <w:lvl w:ilvl="0" w:tplc="65487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66513">
    <w:abstractNumId w:val="34566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141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