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ZLINSZKI</w:t>
            </w:r>
          </w:p>
          <w:p w:rsidR="00C275A3" w:rsidRDefault="00A96AEC" w:rsidP="00C275A3">
            <w:pPr>
              <w:pStyle w:val="Hallgatokepzes"/>
            </w:pPr>
            <w:r>
              <w:t>Andragogy</w:t>
            </w:r>
            <w:r>
              <w:br/>
            </w:r>
            <w:r w:rsidR="00E77B23">
              <w:t>BA, 6. semester</w:t>
            </w:r>
          </w:p>
          <w:p w:rsidR="00C265CE" w:rsidRPr="009E5FF1" w:rsidRDefault="00E77B23" w:rsidP="00C275A3">
            <w:pPr>
              <w:pStyle w:val="Hallgatokepzes"/>
              <w:rPr>
                <w:b/>
                <w:caps/>
              </w:rPr>
            </w:pPr>
            <w:r>
              <w:t>Pázmány Péter Catholic University</w:t>
            </w:r>
            <w:r w:rsidR="00C275A3">
              <w:br/>
            </w:r>
            <w:r w:rsidR="00DB4822">
              <w:t>Vitéz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Éva Cseszka</w:t>
            </w:r>
          </w:p>
          <w:p w:rsidR="00DB4822" w:rsidRDefault="00DB4822" w:rsidP="00E11062">
            <w:pPr>
              <w:pStyle w:val="Konzulensek"/>
            </w:pPr>
            <w:r w:rsidRPr="00DB4822">
              <w:t> associate professor, PPKE VJK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Metamorphoses of an irredentist memorial - the history of the Country Flag Trianon Memorial of Monor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TDK thesis was written with two, but closely related targets. One is that I wished to enrich the knowledge about the local history by processing the history of the Country Flag Trianon Memorial of Monor (hereinafter referred to as the Memorial) (the research techniques, the data collection methods are: content-, document-, sourceanalysis and source-critique, in-depth interviews). The other intention was to examine the emotional attitude to the Trianon Peace Treaty and the Memorial in Monor based on the story of the Memorial processed through a survey questionnaire.</w:t>
      </w:r>
    </w:p>
    <w:p>
      <w:pPr>
        <w:pBdr/>
        <w:spacing w:before="240" w:after="240" w:line="240" w:lineRule="auto"/>
        <w:ind w:left="0" w:right="0"/>
        <w:jc w:val="left"/>
      </w:pPr>
      <w:r>
        <w:rPr>
          <w:color w:val="000000"/>
          <w:sz w:val="24"/>
          <w:szCs w:val="24"/>
        </w:rPr>
        <w:t xml:space="preserve">I assumed that Trianon is basically an emotional factor. Two age groups were studied and compared: one was the group of up to 18, the other group contained the people over 18. Reaching the targets was made more complex by researches conducted on two disciplines: on history of science and on social sciences.</w:t>
      </w:r>
    </w:p>
    <w:p>
      <w:pPr>
        <w:pBdr/>
        <w:spacing w:before="240" w:after="240" w:line="240" w:lineRule="auto"/>
        <w:ind w:left="0" w:right="0"/>
        <w:jc w:val="left"/>
      </w:pPr>
      <w:r>
        <w:rPr>
          <w:color w:val="000000"/>
          <w:sz w:val="24"/>
          <w:szCs w:val="24"/>
        </w:rPr>
        <w:t xml:space="preserve">Through the research on the history of the Memorial some of the existing knowledge has been clarified , and new and important, previously unknown information could augment the local history. Regarding the questionnaire survey both of my hypotheses were proved right in both age groups, and if we highlight the part of history that directly concerns the Memorial, people in Monor consider the Memorial rather as a place of commemoration despite the fact that their knowledge of the Memorial's history proved to be less than expected. In my view the latter also confirms that Trianon really is an emotional factor.</w:t>
      </w:r>
    </w:p>
    <w:p>
      <w:pPr>
        <w:pBdr/>
        <w:spacing w:before="240" w:after="240" w:line="240" w:lineRule="auto"/>
        <w:ind w:left="0" w:right="0"/>
        <w:jc w:val="left"/>
      </w:pPr>
      <w:r>
        <w:rPr>
          <w:color w:val="000000"/>
          <w:sz w:val="24"/>
          <w:szCs w:val="24"/>
        </w:rPr>
        <w:t xml:space="preserve">I have presented the results of my research – which can enrich the knowledge of those who are interested in the local history - in a series of folk academy lectures. I started here a public subscription that made the full restoration of the Memorial possible. The educational institutions can utilize the results of my research questionnaires in the way of teaching the Day of National Unityeducational background material, and they can supplement the aforementioned educational background material and the local curriculum.</w:t>
      </w:r>
    </w:p>
    <w:p>
      <w:pPr>
        <w:pBdr/>
        <w:spacing w:before="240" w:after="240" w:line="240" w:lineRule="auto"/>
        <w:ind w:left="0" w:right="0"/>
        <w:jc w:val="left"/>
      </w:pPr>
      <w:r>
        <w:rPr>
          <w:color w:val="000000"/>
          <w:sz w:val="24"/>
          <w:szCs w:val="24"/>
        </w:rPr>
        <w:t xml:space="preserve">In the OTDK version of my thesis - due to the size restrictions - the history of the Memorial is highlighted from the original (institutional) TDK thesis. I kept the empirical part of the thesis, but it is moved to the attachments section. I have done this also because the two (kinds of) researches are completely intertwined and an integral, coherent entity.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834201">
    <w:multiLevelType w:val="hybridMultilevel"/>
    <w:lvl w:ilvl="0" w:tplc="566098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834201">
    <w:abstractNumId w:val="75834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98378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