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SUDAR</w:t>
            </w:r>
          </w:p>
          <w:p w:rsidR="00C275A3" w:rsidRDefault="00A96AEC" w:rsidP="00C275A3">
            <w:pPr>
              <w:pStyle w:val="Hallgatokepzes"/>
            </w:pPr>
            <w:r>
              <w:t>American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Enikő Bollobás, Ph.D</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Search of Memory: Tracing commemoration and remembering in New York and Budapest through the analysis of the Tenement Museum and Orczy House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author of this paper wishes to explore manifestations of commemoration in New York and Budapest through the comparative analysis of the Tenement Museum and Orczy House. The former invites visitors to engage in the history of the 1860s-immigrant, the latter ceases to propose the act of remembering, since it has been torn down in 1938. Taking on the previously claimed similarities between New York and Budapest, the essay focuses on the similarities the two sites carry: both being dwelling houses for migrants and immigrants and, standing in the focus of this work, the Jewish community. A thorough, parallel understanding of historically grounded similarities, such as their social function in the urban contextualization, offer a reading of both cities as text; which reading corresponds with and is based on the space/place differentiation made by de Certeau. The author argues that though Orczy House is not present, therefore is called non-present, in the physical and visually observable city landscape, the site echoes the norms of commemoration similar to those carried out by the Tenement Museum. As Orczy House was a landmark of the Budapest-ghetto, the Tenement Museum is considered to be that of the Lower East Side in Manhattan; both being capable of identifying their environment fundamentally. To support this claim, the five elements of the urban context, coined by Kevin Lynch, are taken into consideration. Relying on these terms, both sites are read as nodes and landmarks. What constitutes the core of the author’s argument is, essentially, the supposition that social transformations taking place around the turn of the 20th century are visually manifested and imprinted on the city landscape, embodied by the Museum and Orczy House. Inevitably, the fact that both sites are exclusively bound with history and can be interpreted solely through the lens thereof, raises the question whether they can be read as sites of memory. To answer this question Pierre Nora’s term, lieux de mémoire, is called and through the differentiation of history and memory, the two sites and their functions as memorials is analyzed. In the reading of the sites as lieux de mémoire, the trauma of the Holocaust becomes the fundamental narrative of the highly distinctive commemorative acts and gestures carried out by the two places.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629138">
    <w:multiLevelType w:val="hybridMultilevel"/>
    <w:lvl w:ilvl="0" w:tplc="53917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29138">
    <w:abstractNumId w:val="566291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07685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