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MICZÁN</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Mátyus</w:t>
            </w:r>
          </w:p>
          <w:p w:rsidR="00DB4822" w:rsidRDefault="00DB4822" w:rsidP="00E11062">
            <w:pPr>
              <w:pStyle w:val="Konzulensek"/>
            </w:pPr>
            <w:r w:rsidRPr="00DB4822">
              <w:t>Head of the Department,  Semmelweis University Department of Organic 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silico prediction of CYP-metabolism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therapeutical effects of a drug are significantly influenced by its ADME properties, i.e absorption, distribution, metabolism, excretion. One way of prediction of these properties utilizes in vitro and in vivo methods. In the last decades in silico approaches have also been introduced to get a cost-effective and quick impression about ADME. Evidently it is essential to examine the accuracy and predicting power of these computer-based methods before their application.</w:t>
      </w:r>
    </w:p>
    <w:p>
      <w:pPr>
        <w:pBdr/>
        <w:spacing w:before="240" w:after="240" w:line="240" w:lineRule="auto"/>
        <w:ind w:left="0" w:right="0"/>
        <w:jc w:val="left"/>
      </w:pPr>
      <w:r>
        <w:rPr>
          <w:color w:val="000000"/>
          <w:sz w:val="24"/>
          <w:szCs w:val="24"/>
        </w:rPr>
        <w:t xml:space="preserve">The cytochrome P450 enzyme family plays an essential role in the chemical transformations of drugs in the body; approximately 20 members are mainly responsible for the biotransformations of xenobiotics in human. In our project we are focusing on the 3 most frequent isoenzymes: CYP 2C9, 2D6 and 3A4, investigating the performance of known in silico methods and possibly develop new methods to predict regiochemisty of biotransformations with these enzymes. The present work involved the following steps:</w:t>
      </w:r>
    </w:p>
    <w:p>
      <w:pPr>
        <w:pBdr/>
        <w:spacing w:before="240" w:after="240" w:line="240" w:lineRule="auto"/>
        <w:ind w:left="0" w:right="0"/>
        <w:jc w:val="left"/>
      </w:pPr>
      <w:r>
        <w:rPr>
          <w:color w:val="000000"/>
          <w:sz w:val="24"/>
          <w:szCs w:val="24"/>
        </w:rPr>
        <w:t xml:space="preserve">i) Examination of the interaction between three CYP450 isoenzymes and 30 drug molecules using 3 different computational approaches. We compared the performance of the recently introduced Site of Metabolism module of the Schrödinger Maestro software that combines a ligand-based free energy approach and induced fit docking for the determination of the metabolism sites, the SMARTCyp method that uses quantum chemical descriptors and the ADMET Predictor software using atom-based descriptors, empirical database and neural networks.</w:t>
      </w:r>
    </w:p>
    <w:p>
      <w:pPr>
        <w:pBdr/>
        <w:spacing w:before="240" w:after="240" w:line="240" w:lineRule="auto"/>
        <w:ind w:left="0" w:right="0"/>
        <w:jc w:val="left"/>
      </w:pPr>
      <w:r>
        <w:rPr>
          <w:color w:val="000000"/>
          <w:sz w:val="24"/>
          <w:szCs w:val="24"/>
        </w:rPr>
        <w:t xml:space="preserve">ii) We also investigated the possible role of the frontier molecular orbitals in the local reactivity in the case of CYP-mediated drug transformations. We computed the relevant parameters at the semi-empirical level using PM3 method.</w:t>
      </w:r>
    </w:p>
    <w:p>
      <w:pPr>
        <w:pBdr/>
        <w:spacing w:before="240" w:after="240" w:line="240" w:lineRule="auto"/>
        <w:ind w:left="0" w:right="0"/>
        <w:jc w:val="left"/>
      </w:pPr>
      <w:r>
        <w:rPr>
          <w:color w:val="000000"/>
          <w:sz w:val="24"/>
          <w:szCs w:val="24"/>
        </w:rPr>
        <w:t xml:space="preserve">iii) We compared the results obtained to experimental data and analyzed the reliability of each method. We have found that the methods described in i) provided an average accuracy of around 80%, although statistically they differed. The Maestro method performed particularly well, it generally predicted the regiochemistry of the main metabolites precisely.</w:t>
      </w:r>
    </w:p>
    <w:p>
      <w:pPr>
        <w:pBdr/>
        <w:spacing w:before="240" w:after="240" w:line="240" w:lineRule="auto"/>
        <w:ind w:left="0" w:right="0"/>
        <w:jc w:val="left"/>
      </w:pPr>
      <w:r>
        <w:rPr>
          <w:color w:val="000000"/>
          <w:sz w:val="24"/>
          <w:szCs w:val="24"/>
        </w:rPr>
        <w:t xml:space="preserve">The values of the HOMO coefficients themselves seem to not correlate with the experimental metabolism sites, although in the case of aromatic hydroxylation reactions they predicted correctly the site of reaction in some cases.</w:t>
      </w:r>
    </w:p>
    <w:p>
      <w:pPr>
        <w:pBdr/>
        <w:spacing w:before="240" w:after="240" w:line="240" w:lineRule="auto"/>
        <w:ind w:left="0" w:right="0"/>
        <w:jc w:val="left"/>
      </w:pPr>
      <w:r>
        <w:rPr>
          <w:color w:val="000000"/>
          <w:sz w:val="24"/>
          <w:szCs w:val="24"/>
        </w:rPr>
        <w:t xml:space="preserve">Further work is now in progress to calculate stability of radicals possibly involved in the biotransformations as a guide for regiochemistry.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21341">
    <w:multiLevelType w:val="hybridMultilevel"/>
    <w:lvl w:ilvl="0" w:tplc="21392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21341">
    <w:abstractNumId w:val="768213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41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