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HATOS</w:t>
            </w:r>
          </w:p>
          <w:p w:rsidR="00C275A3" w:rsidRDefault="00A96AEC" w:rsidP="00C275A3">
            <w:pPr>
              <w:pStyle w:val="Hallgatokepzes"/>
            </w:pPr>
            <w:r>
              <w:t>Molecular Bionics</w:t>
            </w:r>
            <w:r>
              <w:br/>
            </w:r>
            <w:r w:rsidR="00E77B23">
              <w:t>BSc, 4.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Kalmar PhD</w:t>
            </w:r>
          </w:p>
          <w:p w:rsidR="00DB4822" w:rsidRDefault="00DB4822" w:rsidP="00E11062">
            <w:pPr>
              <w:pStyle w:val="Konzulensek"/>
            </w:pPr>
            <w:r w:rsidRPr="00DB4822">
              <w:t>Senior Research Fellow,  Institute of Enzymology,
Research Centre for Natural Sciences,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amyloid-forming proteins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diseased aggregation of proteins, in which the originally globular or unstructured proteins are forming stable, resistive polymer fibres through a temporary structure, is called amyloidosis. The deposits of amyloid plaque are polymers of misfolded proteins, which typically have antiparallel beta-sheet structure. There are many known diseases (e.g. Alzheimer’s, Huntington’s, Parkinson’s and Creutzfeld-Jacob diseases), where the development of the clinical picture is related to the deposits of these protein aggregates, and the forming of plaques. Because of the better knowledge about the structural background of amyloidosis, the sufficient number of experimentally proven amyloid forming proteins, and the more and more reliable amyloid prediction algorithms, we analyzed the amyloid forming sequences and the so called flanking regions around them. During my work, I searched for properties of the sequences that enhance or inhibit the amyloid formation. All experiments were based on the primary structure of the protein, and the physical and chemical properties of the amino acids. Our results contribute to the better knowledge of amyloid formation, and the better understanding of the genetic background of diseases connected to amyloidosis. My job is also the part of a larger project, in which we try to have a better understanding about the regulation of intracellular protein-protein interactions, and how to avoid the amyloid formation of such interaction 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34228">
    <w:multiLevelType w:val="hybridMultilevel"/>
    <w:lvl w:ilvl="0" w:tplc="49043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34228">
    <w:abstractNumId w:val="32334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982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