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ORSOLYA BIRÓ</w:t>
            </w:r>
          </w:p>
          <w:p w:rsidR="00C275A3" w:rsidRDefault="00A96AEC" w:rsidP="00C275A3">
            <w:pPr>
              <w:pStyle w:val="Hallgatokepzes"/>
            </w:pPr>
            <w:r>
              <w:t>Molecular Bionics</w:t>
            </w:r>
            <w:r>
              <w:br/>
            </w:r>
            <w:r w:rsidR="00E77B23">
              <w:t>BSc, 7. semester</w:t>
            </w:r>
          </w:p>
          <w:p w:rsidR="00C265CE" w:rsidRPr="009E5FF1" w:rsidRDefault="00E77B23" w:rsidP="00C275A3">
            <w:pPr>
              <w:pStyle w:val="Hallgatokepzes"/>
              <w:rPr>
                <w:b/>
                <w:caps/>
              </w:rPr>
            </w:pPr>
            <w:r>
              <w:t>Pázmány Péter Catholic University</w:t>
            </w:r>
            <w:r w:rsidR="00C275A3">
              <w:br/>
            </w:r>
            <w:r w:rsidR="00DB4822">
              <w:t>Faculty of Information Technology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Emőke Endreffy PhD</w:t>
            </w:r>
          </w:p>
          <w:p w:rsidR="00DB4822" w:rsidRDefault="00DB4822" w:rsidP="00E11062">
            <w:pPr>
              <w:pStyle w:val="Konzulensek"/>
            </w:pPr>
            <w:r w:rsidRPr="00DB4822">
              <w:t>scientific advisor, SZTE ÁOK</w:t>
            </w:r>
          </w:p>
        </w:tc>
      </w:tr>
      <w:tr w:rsidR="00DB4822" w:rsidTr="00DB4822">
        <w:tc>
          <w:tcPr>
            <w:tcW w:w="9854" w:type="dxa"/>
          </w:tcPr>
          <w:p w:rsidR="00DB4822" w:rsidRPr="00DB4822" w:rsidRDefault="00DB4822" w:rsidP="004D7940">
            <w:pPr>
              <w:pStyle w:val="Konzulensek"/>
            </w:pPr>
            <w:r w:rsidRPr="00DB4822">
              <w:t>Zoltán Gáspári PhD</w:t>
            </w:r>
          </w:p>
          <w:p w:rsidR="00DB4822" w:rsidRDefault="00DB4822" w:rsidP="00E11062">
            <w:pPr>
              <w:pStyle w:val="Konzulensek"/>
            </w:pPr>
            <w:r w:rsidRPr="00DB4822">
              <w:t>associate professor , PPKE ITK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Laboratory and bioinformatic tools used in the study of autosomal recessive polycystic kidney disease</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Introduction: ARPKD (Autosomal Recessive Polycystic Kidney Disease) is one of the most common pediatric renal cystic diseases. The clinical spectrum is widely variable ranging from neonatal death to adequate function into old age. Mutations in PKHD1 gene encoding the protein called fibrocystin have been identified as the trigger of ARPKD. PKHD1 is predominantly expressed in fetal and adult kidneys; the exact function of the protein remains elusive to date.</w:t>
      </w:r>
      <w:r>
        <w:rPr>
          <w:color w:val="000000"/>
          <w:sz w:val="24"/>
          <w:szCs w:val="24"/>
        </w:rPr>
        <w:br/>
        <w:t xml:space="preserve">Methods: ARPKD can be detected using indirect linkage analysis with high probability if there are informative markers. The purpose of the laboratory examinations was to detect the mutated chromosomes in a recessive polycystic affected person and family members by using PKHD1 linked STR markers. LOD-score calculation of the applied STR markers was carried out to assess their reliability.</w:t>
      </w:r>
      <w:r>
        <w:rPr>
          <w:color w:val="000000"/>
          <w:sz w:val="24"/>
          <w:szCs w:val="24"/>
        </w:rPr>
        <w:br/>
        <w:t xml:space="preserve">In the course of the bioinformatic analysis my aims were to investigate the missense mutations’ pathogenic features, analyze fibrocystin and search for functional and structural similarities with other proteins. Mutation-pathogenicity correlations were described by the PON-P prediction tool, the efficiency of the method was evaluated using available experimental data. In the further investigation of missense mutations I performed a multiple sequence alignment of the homologue proteins’ G8 domains. Several prediction tools were applied to explore connection between the mutations in G8 coding DNA fragments and the structural effects of these mutations.</w:t>
      </w:r>
      <w:r>
        <w:rPr>
          <w:color w:val="000000"/>
          <w:sz w:val="24"/>
          <w:szCs w:val="24"/>
        </w:rPr>
        <w:br/>
        <w:t xml:space="preserve">Results: 3 STR markers were found to be informative in the family which allowed the implementation of carrier and prenatal diagnosis. The applied markers are linked to the disease loci based on the LOD-scores. I concluded that fibrocystin-like proteins are usually located in the membrane and expressed in the kidney and the liver. The PON-P prediction tool classified 37 out of 138 variants as pathogenic mutations. The investigation of G8 domain’s mutations showed that in case of 7 variants there are multiple potential causative factors of the disease's severe outcome.</w:t>
      </w:r>
      <w:r>
        <w:rPr>
          <w:color w:val="000000"/>
          <w:sz w:val="24"/>
          <w:szCs w:val="24"/>
        </w:rPr>
        <w:br/>
        <w:t xml:space="preserve">Conclusion: I managed to detect the mutated parental chromosomes in the family by using PKHD1 linked STR markers. The PON-P prediction tool calculated the disease causing missense mutations’ pathogenicity scores with a relatively high efficiency compared to the experimental values. The research on the G8 domain’s mutations implies that the domain is essential for the proper function of the protein.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8717843">
    <w:multiLevelType w:val="hybridMultilevel"/>
    <w:lvl w:ilvl="0" w:tplc="7638056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8717843">
    <w:abstractNumId w:val="5871784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1043836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