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ZSELYKE MAGYARI</w:t>
            </w:r>
          </w:p>
          <w:p w:rsidR="00C275A3" w:rsidRDefault="00A96AEC" w:rsidP="00C275A3">
            <w:pPr>
              <w:pStyle w:val="Hallgatokepzes"/>
            </w:pPr>
            <w:r>
              <w:t>Medical biotechnologie</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Mátyus</w:t>
            </w:r>
          </w:p>
          <w:p w:rsidR="00DB4822" w:rsidRDefault="00DB4822" w:rsidP="00E11062">
            <w:pPr>
              <w:pStyle w:val="Konzulensek"/>
            </w:pPr>
            <w:r w:rsidRPr="00DB4822">
              <w:t>Head of the Department,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Interaction of MAO-B enzyme with inhibitors: An in silico study.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common neurodegenerative diseases is the Parkinson’s disease with serious social-economic burden. Until now there have not been developed disease-slowing drug therapy. The widely used Monoamine-Oxidase-B (MAO-B) enzyme inhibitors can achieve symptomatic improvement, with a better quality of life by normalizing the level of dopamine, but they are not able to terminate and reverse the neurodegeneration itself. A team led by the Department of Organic Chemistry at Semmelweis University in cooperation with the A-Star Singapore (Medicinal Chemistry Department) designed and synthesized a number of highly potent MAO-B inhibitors which also show promising neuroprotective effect. In a part of this project we examined the interaction of MAO-B with different types of inhibitors using computational modeling methods (Schrödinger Software pack), and developed pharmacophore and QSAR (Quantitative structure–activity relationship) models. In addition we estimated the physico-chemical and ADME (Adsorption, Distribution, Metabolism, and Excretion) parameters as well.</w:t>
      </w:r>
    </w:p>
    <w:p>
      <w:pPr>
        <w:pBdr/>
        <w:spacing w:before="240" w:after="240" w:line="240" w:lineRule="auto"/>
        <w:ind w:left="0" w:right="0"/>
        <w:jc w:val="left"/>
      </w:pPr>
      <w:r>
        <w:rPr>
          <w:color w:val="000000"/>
          <w:sz w:val="24"/>
          <w:szCs w:val="24"/>
        </w:rPr>
        <w:t xml:space="preserve">We (with Dr Balazs Balogh as consulent) used the LigandScout program and the enzyme crystal structures downloaded from protein databases to find the most important pharmacophore groups.</w:t>
      </w:r>
    </w:p>
    <w:p>
      <w:pPr>
        <w:pBdr/>
        <w:spacing w:before="240" w:after="240" w:line="240" w:lineRule="auto"/>
        <w:ind w:left="0" w:right="0"/>
        <w:jc w:val="left"/>
      </w:pPr>
      <w:r>
        <w:rPr>
          <w:color w:val="000000"/>
          <w:sz w:val="24"/>
          <w:szCs w:val="24"/>
        </w:rPr>
        <w:t xml:space="preserve">The QSAR and the pharmacophore models were made using the Phase module of the Schrödinger software family (we fit the compounds according to the pharmacophore groups found after the crystal structures were studied). The QSAR models were built using the fitted compounds. We applied atom based, pharmacophore based, field based descriptors and partial least squares regression analysis during the modeling procedure.</w:t>
      </w:r>
    </w:p>
    <w:p>
      <w:pPr>
        <w:pBdr/>
        <w:spacing w:before="240" w:after="240" w:line="240" w:lineRule="auto"/>
        <w:ind w:left="0" w:right="0"/>
        <w:jc w:val="left"/>
      </w:pPr>
      <w:r>
        <w:rPr>
          <w:color w:val="000000"/>
          <w:sz w:val="24"/>
          <w:szCs w:val="24"/>
        </w:rPr>
        <w:t xml:space="preserve">Parameters reached the expected values, and we also validated the goodness of our model’s prediction.</w:t>
      </w:r>
    </w:p>
    <w:p>
      <w:pPr>
        <w:pBdr/>
        <w:spacing w:before="240" w:after="240" w:line="240" w:lineRule="auto"/>
        <w:ind w:left="0" w:right="0"/>
        <w:jc w:val="left"/>
      </w:pPr>
      <w:r>
        <w:rPr>
          <w:color w:val="000000"/>
          <w:sz w:val="24"/>
          <w:szCs w:val="24"/>
        </w:rPr>
        <w:t xml:space="preserve">Preliminary procedures with QikProp module showed that the physico-chemical parameters of the new compounds are also acceptable.</w:t>
      </w:r>
    </w:p>
    <w:p>
      <w:pPr>
        <w:pBdr/>
        <w:spacing w:before="240" w:after="240" w:line="240" w:lineRule="auto"/>
        <w:ind w:left="0" w:right="0"/>
        <w:jc w:val="left"/>
      </w:pPr>
      <w:r>
        <w:rPr>
          <w:color w:val="000000"/>
          <w:sz w:val="24"/>
          <w:szCs w:val="24"/>
        </w:rPr>
        <w:t xml:space="preserve">In summary, we gained important information about enzyme-inhibitor interactions, we developed a new approach to study covalent inhibitors, and by this way we facilitated the design of new compounds.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50416">
    <w:multiLevelType w:val="hybridMultilevel"/>
    <w:lvl w:ilvl="0" w:tplc="29501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50416">
    <w:abstractNumId w:val="50950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836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