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gif" ContentType="image/gif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LAKATOS ESZTER</w:t>
            </w:r>
          </w:p>
          <w:p w:rsidR="00C275A3" w:rsidRDefault="00A96AEC" w:rsidP="00C275A3">
            <w:pPr>
              <w:pStyle w:val="Hallgatokepzes"/>
            </w:pPr>
            <w:r>
              <w:t>Info-bionika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Információs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Kellermayer Miklós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Miozin vastag filamentumok morfológiájának atomerő-mikroszkópos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szervezet egészséges működésének egyik legalapvetőbb eleme az izom-összehúzódás, melyben pedig az aktin-miozin kölcsönhatás játszik fontos szerepet. Fiziológiás körülmények közt a miozin molekulák vastag filamentumokba szerveződnek, melyet a harántcsíkolt izomból jól ismerünk, ám sok szerkezeti részlete egyelőre ismeretlen. Ezen rendszert kiválóan modellezik a szintetikus miozin filamentumok. Az atomerő-mikroszkópia segítségével pedig közel természetes körülmények között vizsgálhatjuk ezen polimereket.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Mivel a filamentumok kialakulásában fontos tényező a környezet ionerőssége, a szerveződési mechanizmust e paraméter változtatásán keresztül figyeltük meg. A szintetikus filamentumokat nyúl hátizomból származó miozin felhasználásával, dialízissel állítottuk elő, melynek során a felhasznált pufferben a kálium-klorid (KCl) koncentráció kísérleteként különböző volt. A filamentumokat csillám felszínen, puffer oldatban vizsgáltuk.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Csillámon a filamentumok elterült alakot vesznek fel, ezáltal eltávolítva egymástól a miozin dimereket és feltárva belső szerkezetüket. Méréseink során jelentős különbséget figyeltünk meg az átlagos filamentumszélességben attól függően, milyen KCl koncentrációnál szintetizáltuk a filamentumokat. Az átlagos szélességértékek 0, 30, 60, 90 és 120 mM KCl mellett rendre az alábbiak voltak: 103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108000"/>
            <wp:docPr id="804377" name="name1514b7d974b4ad" descr="imgtmp_23025_hu_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3025_hu_1.gif"/>
                    <pic:cNvPicPr/>
                  </pic:nvPicPr>
                  <pic:blipFill>
                    <a:blip r:embed="rId1514b7d974b4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108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23, 179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108000"/>
            <wp:docPr id="67409601" name="name1514b7d974bac4" descr="imgtmp_23025_hu_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3025_hu_2.gif"/>
                    <pic:cNvPicPr/>
                  </pic:nvPicPr>
                  <pic:blipFill>
                    <a:blip r:embed="rId1514b7d974ba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108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34, 167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108000"/>
            <wp:docPr id="73304716" name="name1514b7d974bd77" descr="imgtmp_23025_hu_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3025_hu_3.gif"/>
                    <pic:cNvPicPr/>
                  </pic:nvPicPr>
                  <pic:blipFill>
                    <a:blip r:embed="rId1514b7d974bd3a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108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38, 162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108000"/>
            <wp:docPr id="85220537" name="name1514b7d974c01d" descr="imgtmp_23025_hu_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3025_hu_4.gif"/>
                    <pic:cNvPicPr/>
                  </pic:nvPicPr>
                  <pic:blipFill>
                    <a:blip r:embed="rId1514b7d974bfe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108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43, 159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108000"/>
            <wp:docPr id="23455083" name="name1514b7d974c2cf" descr="imgtmp_23025_hu_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3025_hu_5.gif"/>
                    <pic:cNvPicPr/>
                  </pic:nvPicPr>
                  <pic:blipFill>
                    <a:blip r:embed="rId1514b7d974c2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108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41 nm. További vizsgálat céljából az ionerősséget a kísérlet közben is megváltoztattuk, mely megerősítette a filamentum és a felszín közötti kölcsönhatás KCl-koncentráció függését. Az eredményeket nitrocellulózon vizsgált filamentumokkal vetettük össze, melyek szintén mutatták a korábban megfigyelt ionerő-függést.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Nagyfelbontású felvételeken pedig a belső szerkezet számos sajátossága megfigyelhető, mint például a 0 mM KCl-os filamentumokra jellemző mag struktúra, melynek magassága és szélessége a filamentum nagyságával változik. A magasabb ionerősségen készített képeken pedig a filamentumokon belüli molekulák világosan elkülöníthetőek egymástól, a miozin fejek eloszlása számszerűsíthető, valamint farki részekből álló szubfilamentumok figyelhetőek meg, melyek helikálisan összecsavarodva alkotják a polimer törzsét.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Morfológiát leíró eredményeink remélhetőleg hozzá fognak járulni a filamentumok szerveződésének megértéséhez, valamint polimerizációs folyamatokat és aktin-miozin kölcsönhatást vizsgáló tanulmányok kiindulópontjául szolgálnak majd.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312768">
    <w:multiLevelType w:val="hybridMultilevel"/>
    <w:lvl w:ilvl="0" w:tplc="274332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312768">
    <w:abstractNumId w:val="7531276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1199561" Type="http://schemas.openxmlformats.org/officeDocument/2006/relationships/numbering" Target="numbering.xml"/><Relationship Id="rId1514b7d974b470" Type="http://schemas.openxmlformats.org/officeDocument/2006/relationships/image" Target="media/imgrId1514b7d974b470.gif"/><Relationship Id="rId1514b7d974ba88" Type="http://schemas.openxmlformats.org/officeDocument/2006/relationships/image" Target="media/imgrId1514b7d974ba88.gif"/><Relationship Id="rId1514b7d974bd3a" Type="http://schemas.openxmlformats.org/officeDocument/2006/relationships/image" Target="media/imgrId1514b7d974bd3a.gif"/><Relationship Id="rId1514b7d974bfe1" Type="http://schemas.openxmlformats.org/officeDocument/2006/relationships/image" Target="media/imgrId1514b7d974bfe1.gif"/><Relationship Id="rId1514b7d974c293" Type="http://schemas.openxmlformats.org/officeDocument/2006/relationships/image" Target="media/imgrId1514b7d974c293.gif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