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LAKATOS</w:t>
            </w:r>
          </w:p>
          <w:p w:rsidR="00C275A3" w:rsidRDefault="00A96AEC" w:rsidP="00C275A3">
            <w:pPr>
              <w:pStyle w:val="Hallgatokepzes"/>
            </w:pPr>
            <w:r>
              <w:t>Infobionics</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Kellermayer Miklos</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myosin thick filament morphology using atomic force microscopy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basic processes in the healthy operation of an organism is muscle contraction which is based on the interaction between actin and myosin. Myosin molecules under physiological conditions are often organized into thick filaments, the detailed structure of which is still unknown. Synthetic myosin thick filaments provide us a great opportunity to shed light on the assembly of these polymers in vitro. Using atomic force microscopy allows us to observe filaments through high-quality images in a close to native environment.</w:t>
      </w:r>
    </w:p>
    <w:p>
      <w:pPr>
        <w:widowControl w:val="on"/>
        <w:pBdr/>
        <w:spacing w:before="240" w:after="240" w:line="240" w:lineRule="auto"/>
        <w:ind w:left="0" w:right="0"/>
        <w:jc w:val="left"/>
      </w:pPr>
      <w:r>
        <w:rPr>
          <w:color w:val="000000"/>
          <w:sz w:val="24"/>
          <w:szCs w:val="24"/>
        </w:rPr>
        <w:t xml:space="preserve">During this project, we performed experiments in order to derive a detailed description of thick filament structure and filament assembly. Thick filaments were synthesized from rabbit back muscle myosin using a dialysis protocol. To investigate the process through transient states in the assembly of myosin dimers into filaments, we prepared synthetic filaments using buffers ranging from 0 mM to 120 mM potassium-chloride (KCl) concentration.</w:t>
      </w:r>
    </w:p>
    <w:p>
      <w:pPr>
        <w:widowControl w:val="on"/>
        <w:pBdr/>
        <w:spacing w:before="240" w:after="240" w:line="240" w:lineRule="auto"/>
        <w:ind w:left="0" w:right="0"/>
        <w:jc w:val="left"/>
      </w:pPr>
      <w:r>
        <w:rPr>
          <w:color w:val="000000"/>
          <w:sz w:val="24"/>
          <w:szCs w:val="24"/>
        </w:rPr>
        <w:t xml:space="preserve">While imaged on mica, thick filaments show an opened-up nature, thereby enabling us to study the internal organization of synthetic filaments. We observed a difference in width depending on ionic strength, as the average was 103</w:t>
      </w:r>
      <w:r>
        <w:rPr>
          <w:color w:val="000000"/>
          <w:position w:val="-3"/>
          <w:sz w:val="24"/>
          <w:szCs w:val="24"/>
        </w:rPr>
        <w:drawing>
          <wp:inline distT="0" distB="0" distL="0" distR="0">
            <wp:extent cx="115200" cy="108000"/>
            <wp:docPr id="45321860" name="name1514b7d97c52e0" descr="imgtmp_23025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25_int_1.gif"/>
                    <pic:cNvPicPr/>
                  </pic:nvPicPr>
                  <pic:blipFill>
                    <a:blip r:embed="rId1514b7d97c52a2"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23, 179</w:t>
      </w:r>
      <w:r>
        <w:rPr>
          <w:color w:val="000000"/>
          <w:position w:val="-3"/>
          <w:sz w:val="24"/>
          <w:szCs w:val="24"/>
        </w:rPr>
        <w:drawing>
          <wp:inline distT="0" distB="0" distL="0" distR="0">
            <wp:extent cx="115200" cy="108000"/>
            <wp:docPr id="78409432" name="name1514b7d97c836a" descr="imgtmp_23025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25_int_2.gif"/>
                    <pic:cNvPicPr/>
                  </pic:nvPicPr>
                  <pic:blipFill>
                    <a:blip r:embed="rId1514b7d97c832d"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34, 167</w:t>
      </w:r>
      <w:r>
        <w:rPr>
          <w:color w:val="000000"/>
          <w:position w:val="-3"/>
          <w:sz w:val="24"/>
          <w:szCs w:val="24"/>
        </w:rPr>
        <w:drawing>
          <wp:inline distT="0" distB="0" distL="0" distR="0">
            <wp:extent cx="115200" cy="108000"/>
            <wp:docPr id="39058757" name="name1514b7d97c85e3" descr="imgtmp_23025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25_int_3.gif"/>
                    <pic:cNvPicPr/>
                  </pic:nvPicPr>
                  <pic:blipFill>
                    <a:blip r:embed="rId1514b7d97c85a6"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38, 162</w:t>
      </w:r>
      <w:r>
        <w:rPr>
          <w:color w:val="000000"/>
          <w:position w:val="-3"/>
          <w:sz w:val="24"/>
          <w:szCs w:val="24"/>
        </w:rPr>
        <w:drawing>
          <wp:inline distT="0" distB="0" distL="0" distR="0">
            <wp:extent cx="115200" cy="108000"/>
            <wp:docPr id="52003804" name="name1514b7d97c884b" descr="imgtmp_23025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25_int_4.gif"/>
                    <pic:cNvPicPr/>
                  </pic:nvPicPr>
                  <pic:blipFill>
                    <a:blip r:embed="rId1514b7d97c880f"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43, 159</w:t>
      </w:r>
      <w:r>
        <w:rPr>
          <w:color w:val="000000"/>
          <w:position w:val="-3"/>
          <w:sz w:val="24"/>
          <w:szCs w:val="24"/>
        </w:rPr>
        <w:drawing>
          <wp:inline distT="0" distB="0" distL="0" distR="0">
            <wp:extent cx="115200" cy="108000"/>
            <wp:docPr id="66874312" name="name1514b7d97c8abf" descr="imgtmp_23025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25_int_5.gif"/>
                    <pic:cNvPicPr/>
                  </pic:nvPicPr>
                  <pic:blipFill>
                    <a:blip r:embed="rId1514b7d97c8a83"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41 nm at 0, 30, 60, 90 and 120 mM KCl, respectively. To further investigate the difference induced by ionic strength, additional experiments were performed when the buffer was changed at different steps, suggesting an irreversible yet strongly buffer-affected surface-filament interaction. Results on mica were confirmed with experiments using nitrocellulose-covered surface, which revealed the same ionic strength dependency.</w:t>
      </w:r>
    </w:p>
    <w:p>
      <w:pPr>
        <w:widowControl w:val="on"/>
        <w:pBdr/>
        <w:spacing w:before="240" w:after="240" w:line="240" w:lineRule="auto"/>
        <w:ind w:left="0" w:right="0"/>
        <w:jc w:val="left"/>
      </w:pPr>
      <w:r>
        <w:rPr>
          <w:color w:val="000000"/>
          <w:sz w:val="24"/>
          <w:szCs w:val="24"/>
        </w:rPr>
        <w:t xml:space="preserve">On high resolution images free myosin molecules as well as fine structural details were observed, for example a core structure specific to 0 mM KCl filaments which varied in length and width according to overall filament dimensions. Furthermore, at higher ionic strength, we were able to resolve subfilaments constituting the trunk and branching out by the ends of the filament into individual myosin tails. An average filament is consisted of about 3-10 subfilaments and seems to be organized into a twisted, helical structure.</w:t>
      </w:r>
    </w:p>
    <w:p>
      <w:pPr>
        <w:widowControl w:val="on"/>
        <w:pBdr/>
        <w:spacing w:before="240" w:after="240" w:line="240" w:lineRule="auto"/>
        <w:ind w:left="0" w:right="0"/>
        <w:jc w:val="left"/>
      </w:pPr>
      <w:r>
        <w:rPr>
          <w:color w:val="000000"/>
          <w:sz w:val="24"/>
          <w:szCs w:val="24"/>
        </w:rPr>
        <w:t xml:space="preserve">Our results on morphological differences might lead to a better understanding of the underlying physicochemical mechanism behind filament assembly, also providing a good starting point to investigate polymerization processes as well as actomyosin interactions.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75944">
    <w:multiLevelType w:val="hybridMultilevel"/>
    <w:lvl w:ilvl="0" w:tplc="57463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75944">
    <w:abstractNumId w:val="12175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791769" Type="http://schemas.openxmlformats.org/officeDocument/2006/relationships/numbering" Target="numbering.xml"/><Relationship Id="rId1514b7d97c52a2" Type="http://schemas.openxmlformats.org/officeDocument/2006/relationships/image" Target="media/imgrId1514b7d97c52a2.gif"/><Relationship Id="rId1514b7d97c832d" Type="http://schemas.openxmlformats.org/officeDocument/2006/relationships/image" Target="media/imgrId1514b7d97c832d.gif"/><Relationship Id="rId1514b7d97c85a6" Type="http://schemas.openxmlformats.org/officeDocument/2006/relationships/image" Target="media/imgrId1514b7d97c85a6.gif"/><Relationship Id="rId1514b7d97c880f" Type="http://schemas.openxmlformats.org/officeDocument/2006/relationships/image" Target="media/imgrId1514b7d97c880f.gif"/><Relationship Id="rId1514b7d97c8a83" Type="http://schemas.openxmlformats.org/officeDocument/2006/relationships/image" Target="media/imgrId1514b7d97c8a8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