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HUJTER</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Kovacs, DSc</w:t>
            </w:r>
          </w:p>
          <w:p w:rsidR="00DB4822" w:rsidRDefault="00DB4822" w:rsidP="00E11062">
            <w:pPr>
              <w:pStyle w:val="Konzulensek"/>
            </w:pPr>
            <w:r w:rsidRPr="00DB4822">
              <w:t>Professor emeritus, PPKE ITK</w:t>
            </w:r>
          </w:p>
        </w:tc>
      </w:tr>
      <w:tr w:rsidR="00DB4822" w:rsidTr="00DB4822">
        <w:tc>
          <w:tcPr>
            <w:tcW w:w="9854" w:type="dxa"/>
          </w:tcPr>
          <w:p w:rsidR="00DB4822" w:rsidRPr="00DB4822" w:rsidRDefault="00DB4822" w:rsidP="004D7940">
            <w:pPr>
              <w:pStyle w:val="Konzulensek"/>
            </w:pPr>
            <w:r w:rsidRPr="00DB4822">
              <w:t>Adam Tamas Balogh, PhD</w:t>
            </w:r>
          </w:p>
          <w:p w:rsidR="00DB4822" w:rsidRDefault="00DB4822" w:rsidP="00E11062">
            <w:pPr>
              <w:pStyle w:val="Konzulensek"/>
            </w:pPr>
            <w:r w:rsidRPr="00DB4822">
              <w:t>Post. Doc.,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maternal–fetal heart rate interaction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interactions of integrated physiological systems through neural regulation are good example for the maternal–fetal heart rate coupling. Several studies have shown that this phenomena is not of random nature: many outer and inner factors are responsible together for the evolution of the complex system dynamics. In addition to describing the sensitive effect from maternal physiological state, the fetal heart rate variability is an excellent indicator of the intrauterine nervous development. Therefore it is the most important foundation stone in prenatal diagnostics.</w:t>
      </w:r>
    </w:p>
    <w:p>
      <w:pPr>
        <w:widowControl w:val="on"/>
        <w:pBdr/>
        <w:spacing w:before="240" w:after="240" w:line="240" w:lineRule="auto"/>
        <w:ind w:left="0" w:right="0"/>
        <w:jc w:val="left"/>
      </w:pPr>
      <w:r>
        <w:rPr>
          <w:color w:val="000000"/>
          <w:sz w:val="24"/>
          <w:szCs w:val="24"/>
        </w:rPr>
        <w:br/>
        <w:t xml:space="preserve">While studying the maternal and fetal heart variability I looked for connection points between the two indirectly mutual interactions. I started from such basic physiological phenomena as the progression and the operation of the fetal heart and the maternal cardiovascular or respiratory changes. To verify the topic-related assumptions I recorded measurements with a non-invasive phonocardiography method following classical and special own designed protocol. The used instrument, which is wholly exempt from harmful radiation, can make acoustic sign recordings from the fetal heart rates, and creating opportunities for the subsequent analysis, providing possibility for comprehensive observation of fetal heart activity.</w:t>
      </w:r>
    </w:p>
    <w:p>
      <w:pPr>
        <w:widowControl w:val="on"/>
        <w:pBdr/>
        <w:spacing w:before="240" w:after="240" w:line="240" w:lineRule="auto"/>
        <w:ind w:left="0" w:right="0"/>
        <w:jc w:val="left"/>
      </w:pPr>
      <w:r>
        <w:rPr>
          <w:color w:val="000000"/>
          <w:sz w:val="24"/>
          <w:szCs w:val="24"/>
        </w:rPr>
        <w:br/>
        <w:t xml:space="preserve">During the data processing, I concentrated on the accurate determination of fetal and maternal heart rate values, and additional derived parameters. I focused on the examination of fetal heart rate variability, its frequency spectrum as well as on traditional spectral metrics. Comparing the results of different points of view allows detecting the maternal and fetal heart rate synchronization phenomena and specification of the physiological effects of maternal body positions, what aspects have been taken into account in the research of fetal cardiac function.</w:t>
      </w:r>
    </w:p>
    <w:p>
      <w:pPr>
        <w:widowControl w:val="on"/>
        <w:pBdr/>
        <w:spacing w:before="240" w:after="240" w:line="240" w:lineRule="auto"/>
        <w:ind w:left="0" w:right="0"/>
        <w:jc w:val="left"/>
      </w:pPr>
      <w:r>
        <w:rPr>
          <w:color w:val="000000"/>
          <w:sz w:val="24"/>
          <w:szCs w:val="24"/>
        </w:rPr>
        <w:br/>
        <w:t xml:space="preserve">Consequently, the mapping of these relationships may also be relevant in the clinical practice, since in this way new information may be acquired for the monitoring of the fetal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40400">
    <w:multiLevelType w:val="hybridMultilevel"/>
    <w:lvl w:ilvl="0" w:tplc="27344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40400">
    <w:abstractNumId w:val="75140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076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