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GÁSPÁR BENDEGÚZ TIKÁSZ</w:t>
            </w:r>
          </w:p>
          <w:p w:rsidR="00C275A3" w:rsidRDefault="00A96AEC" w:rsidP="00C275A3">
            <w:pPr>
              <w:pStyle w:val="Hallgatokepzes"/>
            </w:pPr>
            <w:r>
              <w:t>Philosophy</w:t>
            </w:r>
            <w:r>
              <w:br/>
            </w:r>
            <w:r w:rsidR="00E77B23">
              <w:t>MA, 8.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Bujalos</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Libertarian and communitarian philosophies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remarkable debate was unfolded on the field of moral and political philosophy in the second half of the 20th century. In these debates those questions should be answered which emerged by everydays and the policy. The two participants were named libertarian and communitarian. The two groups cannot be isolated exactly because both representatives asked the questions different ways. Therefore their solutions were different, as well. But the starting points of the questions were rhymed.</w:t>
      </w:r>
      <w:r>
        <w:rPr>
          <w:color w:val="000000"/>
          <w:sz w:val="24"/>
          <w:szCs w:val="24"/>
        </w:rPr>
        <w:br/>
        <w:t xml:space="preserve">In my essay I shortly review arguments, solutions which are proper for philosophers, ordinary people and politicans too, and which makes ordinary revulsion.Then I examine if the two groups' claims can be conciliated; if there is common approach.</w:t>
      </w:r>
      <w:r>
        <w:rPr>
          <w:color w:val="000000"/>
          <w:sz w:val="24"/>
          <w:szCs w:val="24"/>
        </w:rPr>
        <w:br/>
        <w:t xml:space="preserve">For this aim using Freidrich A. Hayek, I go over bewilderment, which surrounds liberalism and individualism. This bewilderment is caused by the using of one concept for two philosophical traditions. We can find a solution by Hayek's real individualism. Although this approach thinks of the importance of the respect of the individual's interest and freedom but acknowledges the communities essential values.</w:t>
      </w:r>
      <w:r>
        <w:rPr>
          <w:color w:val="000000"/>
          <w:sz w:val="24"/>
          <w:szCs w:val="24"/>
        </w:rPr>
        <w:br/>
        <w:t xml:space="preserve">Finally, following Michael Walzer, I find and expound my solutions which can be searched in the social union of social unions. Namely, such a structure that claims, we are member of different groups from our birth and we get our virtues from these groups. This structure is not allow for the community to overwhelm the individual and to prohibit for the individual to search new communities or values if wishes. Furthermore it prevents too great influences for groups or communities and becomes a tyrant for the others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98572">
    <w:multiLevelType w:val="hybridMultilevel"/>
    <w:lvl w:ilvl="0" w:tplc="81371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98572">
    <w:abstractNumId w:val="64298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450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