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CSUKA</w:t>
            </w:r>
          </w:p>
          <w:p w:rsidR="00C275A3" w:rsidRDefault="00A96AEC" w:rsidP="00C275A3">
            <w:pPr>
              <w:pStyle w:val="Hallgatokepzes"/>
            </w:pPr>
            <w:r>
              <w:t>Aesthetics MA</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Bacsó</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Foundering of Aesthetes in Lukács's Essays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György Lukács’s essays, written between 1908 and 1912, constitute a period full of tensions made up by their constantly changing positions, emphases and their connections to contemporary theoretical and cultural discourses. It is this context in which the paper tends to examine the question of aestheticism through the ’aesthete’, a frequently appearing notion, rich in semantic variants.</w:t>
      </w:r>
    </w:p>
    <w:p>
      <w:pPr>
        <w:pBdr/>
        <w:spacing w:before="240" w:after="240" w:line="240" w:lineRule="auto"/>
        <w:ind w:left="0" w:right="0"/>
        <w:jc w:val="left"/>
      </w:pPr>
      <w:r>
        <w:rPr>
          <w:color w:val="000000"/>
          <w:sz w:val="24"/>
          <w:szCs w:val="24"/>
        </w:rPr>
        <w:t xml:space="preserve">After delineating the basic categories of the essay period, an attempt is made to differentiate the meanings of aestheticism in the essays: two types can be separated, one positively, one negatively evaluated by Lukács. The artistic practice represented by Stefan George is one of them, a practice distancing oneself from everything that is outside the autonomous realm of art. The other however tries to force the laws of art on life, Lukács calls this ’living [as] art’/ ’art of living’, its representatives ’life-aesthetes’. Within this latter two peculiar practice, attitude to life can also be separated, according to the apprehension of art. Either mood is considered – opposed by Lukács – the essence of art, and it is enforced on life, which is lived this way as moments of impressions; or form is to be given directly to life, which however proves to be a vain attempt, a delusion even if it is so ’heroic’ as Kierkegaard’s pursuit to form a ’poem of his life’.</w:t>
      </w:r>
    </w:p>
    <w:p>
      <w:pPr>
        <w:pBdr/>
        <w:spacing w:before="240" w:after="240" w:line="240" w:lineRule="auto"/>
        <w:ind w:left="0" w:right="0"/>
        <w:jc w:val="left"/>
      </w:pPr>
      <w:r>
        <w:rPr>
          <w:color w:val="000000"/>
          <w:sz w:val="24"/>
          <w:szCs w:val="24"/>
        </w:rPr>
        <w:t xml:space="preserve">The question of aestheticism is present in Lukács’s reception in many ways, the aim of this paper is however to differentiate between the conceptions of aestheticism, analyse their presence in the essays and to outline Lukács’s standpoints towards them. While elucidating the differing aestheticisms (aesthetic ways of life) its problematic proved to be a focal point: aestheticism covers an attitude to life, in which the Lukácsian basic categories and controversies meet, in addition there are ways running from this point towards the cultural space of contemporary Vienna, one of the provocative backgrounds of the essay period. Furthermore, mainly through the Lukácsian critique of ’life-aesthetes’, it is possible to emphasize the ethical component in his notion of form, the changing, still permanent ethical criticism of the young Lukács.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37040">
    <w:multiLevelType w:val="hybridMultilevel"/>
    <w:lvl w:ilvl="0" w:tplc="16881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37040">
    <w:abstractNumId w:val="59037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626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