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HADI</w:t>
            </w:r>
          </w:p>
          <w:p w:rsidR="00C275A3" w:rsidRDefault="00A96AEC" w:rsidP="00C275A3">
            <w:pPr>
              <w:pStyle w:val="Hallgatokepzes"/>
            </w:pPr>
            <w:r>
              <w:t>aesthetics</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Bacsó</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"Logos" of the Icon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has set two objectives. Firstly, it tries to synthesize the criticism on the iconological tradition based on the emphasis of the iconic element after the Iconic Turn, on the other hand it’s attempt is to modulate the seemingly sharp contradictions by exploring the critical attitude towards the Warburgian iconological analysis directed against Erwin Panofsky. Meanwhile the study continuously reflects on the conception of the “iconic logos” frequently emphasized by Gottfried Boehm. Panofsky, in the final version of the definition of iconological interpretation, makes it clear: ‘…[S]o does the suffix “logy” derived from logos, which means “thought” or “reason” denote something interpretative.’ So the question is aimed at what the “logos” means in its relation with the meaning of the work of art. Whereas developing the idea of iconic difference, Boehm quotes the Stranger from the Sophist: ’Then what we call an image is in reality really unreal.’ That is exactly what Hans-Georg Gadamer seized as the doubled meaning of “mimesis”; the mimetic relationship is not based on the mere rendition of reality, because ‘[w]hen a person imitates something, he allows what he knows to exist and to exist in the way that he knows it.’ The image (Bild) does not copy (abbilden) but present (darstellen), and the presented amidst of a variety of changes is always there as something. It creates a coherency of sense, which only the image can fulfill, and only in the image can be fulfilled. In contrast, the iconological research remains by the sheer “imitatio”, the view of the image as likeness, with the focus on the work of art as a decipherable mystery. The interpretation runs out in revealing the plot, and it demotes the image to the structure of conceptual identifiability.</w:t>
      </w:r>
    </w:p>
    <w:p>
      <w:pPr>
        <w:widowControl w:val="on"/>
        <w:pBdr/>
        <w:spacing w:before="240" w:after="240" w:line="240" w:lineRule="auto"/>
        <w:ind w:left="0" w:right="0"/>
        <w:jc w:val="left"/>
      </w:pPr>
      <w:r>
        <w:rPr>
          <w:color w:val="000000"/>
          <w:sz w:val="24"/>
          <w:szCs w:val="24"/>
        </w:rPr>
        <w:t xml:space="preserve">It is questionable, however, that his view of the image is really nothing more; if he really doesn’t calculate with the pictorial characteristics of visual presentation or with the role of the preferred activity of seeing in relation to interpretation. Anyway, does iconology – seeing the artworks in the first place as documents of their own age – even have a choice other, than searching for the hidden plot in the work of art? The paper tries to find answers along the concept of the “pictorial logos”, trough problems like the historicity of the image, pictorial description, and the intent of the iconological interpretation of Panofsky at all.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99834">
    <w:multiLevelType w:val="hybridMultilevel"/>
    <w:lvl w:ilvl="0" w:tplc="30369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99834">
    <w:abstractNumId w:val="443998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9225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