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MAKAI</w:t>
            </w:r>
          </w:p>
          <w:p w:rsidR="00C275A3" w:rsidRDefault="00A96AEC" w:rsidP="00C275A3">
            <w:pPr>
              <w:pStyle w:val="Hallgatokepzes"/>
            </w:pPr>
            <w:r>
              <w:t>ELTE, BTK, Institute for Art Theory and Media Studies, Department of Aesthetics</w:t>
            </w:r>
            <w:r>
              <w:br/>
            </w:r>
            <w:r w:rsidR="00E77B23">
              <w:t>MA, 10.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Seregi</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the Participating Body to the Mediating Body. Contemporary projected images and the experience of the body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From the perspective of art history contemporary projected images are seen as aliens that changed the white cube paradigm of exhibition space into a black box, from cinema as an emigration, and so on. There are many paradigms and theories dealing with the phenomenon of projected moving-images regarding the question and role of the body to be a central problem. In my paper I intend to present the main tendencies that interpret the body with its relation to contemporary projected images. This way the interpretations of the body could be synthesized with the notion of the liberated body within the paradigm of cinema, with that of the participatory body, from the practice of installation, and as mediating body from the perspective of new media theories. I will argue that the relationship between body experience and the phenomenon of contemporary projected images does not offer only a particular and new angle for describing or interpreting projected moving images, but the creative capacity of the body, or the body experience itself may create and actuate artworks.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96085">
    <w:multiLevelType w:val="hybridMultilevel"/>
    <w:lvl w:ilvl="0" w:tplc="29588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96085">
    <w:abstractNumId w:val="206960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85161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