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LIPTAI</w:t>
            </w:r>
          </w:p>
          <w:p w:rsidR="00C275A3" w:rsidRDefault="00A96AEC" w:rsidP="00C275A3">
            <w:pPr>
              <w:pStyle w:val="Hallgatokepzes"/>
            </w:pPr>
            <w:r>
              <w:t>Geology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LEVENTE PATKO</w:t>
            </w:r>
          </w:p>
          <w:p w:rsidR="00DB4822" w:rsidRDefault="00C275A3" w:rsidP="004D7940">
            <w:pPr>
              <w:pStyle w:val="Hallgatokepzes"/>
            </w:pPr>
            <w:r>
              <w:t>Geology M.Sc.</w:t>
            </w:r>
            <w:r w:rsidR="00A96AEC">
              <w:br/>
              <w:t>MSc,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Szabo</w:t>
            </w:r>
          </w:p>
          <w:p w:rsidR="00DB4822" w:rsidRDefault="00DB4822" w:rsidP="00E11062">
            <w:pPr>
              <w:pStyle w:val="Konzulensek"/>
            </w:pPr>
            <w:r w:rsidRPr="00DB4822">
              <w:t>associate professor, ELTE TTK</w:t>
            </w:r>
          </w:p>
        </w:tc>
      </w:tr>
      <w:tr w:rsidR="00DB4822" w:rsidTr="00DB4822">
        <w:tc>
          <w:tcPr>
            <w:tcW w:w="9854" w:type="dxa"/>
          </w:tcPr>
          <w:p w:rsidR="00DB4822" w:rsidRPr="00DB4822" w:rsidRDefault="00DB4822" w:rsidP="004D7940">
            <w:pPr>
              <w:pStyle w:val="Konzulensek"/>
            </w:pPr>
            <w:r w:rsidRPr="00DB4822">
              <w:t>Istvan Janos Kovacs</w:t>
            </w:r>
          </w:p>
          <w:p w:rsidR="00DB4822" w:rsidRDefault="00DB4822" w:rsidP="00E11062">
            <w:pPr>
              <w:pStyle w:val="Konzulensek"/>
            </w:pPr>
            <w:r w:rsidRPr="00DB4822">
              <w:t>Head of Division for the Laboratories,  Geological and Geophysical Institute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Deformation studies on upper mantle ultramafic xenoliths of the Nógrád-Gömör Volcanic Field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Nógrád-Gömör Volcanic Field (NGVF) is one of the five well known occurrences in the Carpathian-Pannonian region where upper mantle ultramafic xenoliths are brought to the surface by Plio-Pleistocene alkali basalt lavas and pyroclasts. Although several papers were published in the past decade about the petrology and geochemistry of the NGVF xenoliths, there is a lack of studies involving/focusing on crystallographic orientations. Measurements with electron backscatter diffraction (EBSD) can be used to determine crystal preferred orientations of olivine and pyroxene. Crystal preferred orientations basically mean the major directions of crystallographic axes according to the plane of foliation. They are resulted from changes in the physical conditions of the upper mantle (p, T, stress, strain, etc.), therefore can be used to gain information about deformation mechanisms that activated in the mantle domain represented by the xenoliths.</w:t>
      </w:r>
      <w:r>
        <w:rPr>
          <w:color w:val="000000"/>
          <w:sz w:val="24"/>
          <w:szCs w:val="24"/>
        </w:rPr>
        <w:br/>
        <w:t xml:space="preserve">We carried out EBSD measurements on thin sections of xenoliths originating from seven quarries of the NGVF (Maskófalva, Terbeléd, Fülekkovácsi, Fülek-Rátka, Magyarbánya, Eresztvény, Bárna-Nagykő). The modal compositions, textures and mineral major element chemistry of these xenoliths were previously determined. The measurements consisted of orientation mapping of the thin section surfaces, then turning the crystallographic axes of olivine and orthopyroxene in the foliation plane using a specific software. In this manuscript we present the most important steps of the EBSD measurements, petrography and mineral major element chemistry of the selected xenoliths, and a series of pole figures showing the distribution of olivine and orthopyroxene crystal axes. On the olivine pole figures two characteristics can be observed: one is the definite orientation of a and b axes, the other is the variety in the axis densities. This outcome proves that there are possibly more deformation mechanisms that have activated on distinct levels of the mantle beneath the NGVF.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81554">
    <w:multiLevelType w:val="hybridMultilevel"/>
    <w:lvl w:ilvl="0" w:tplc="71345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81554">
    <w:abstractNumId w:val="387815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6540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