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HUSZARIK</w:t>
            </w:r>
          </w:p>
          <w:p w:rsidR="00C275A3" w:rsidRDefault="00A96AEC" w:rsidP="00C275A3">
            <w:pPr>
              <w:pStyle w:val="Hallgatokepzes"/>
            </w:pPr>
            <w:r>
              <w:t>survey statistics</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Peter Kiss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regional specialization of the multinational retail chain stores's appearance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present we can enter eight multinational retail chain stores in Hungary. Amoung them, The Aldi, The Lidl, The Penny Market and The Profi stores are discount stores, while The Match is running supermarkets, but the Auchan is operating hipermarket stores. Amoung the type of stores of the Spar and the Tesco Group we can find not only super and hipermarket stores but the so-called convenience supermarket stores also can be found, opened recently mostly in the city centers.</w:t>
      </w:r>
      <w:r>
        <w:rPr>
          <w:color w:val="000000"/>
          <w:sz w:val="24"/>
          <w:szCs w:val="24"/>
        </w:rPr>
        <w:br/>
        <w:t xml:space="preserve">The history of the multiples goes back to decades. They are extending their activity so much that by now some of them can be found in the overseas region and to some extend surprisingly even to the economically undeveloped African states too.</w:t>
      </w:r>
      <w:r>
        <w:rPr>
          <w:color w:val="000000"/>
          <w:sz w:val="24"/>
          <w:szCs w:val="24"/>
        </w:rPr>
        <w:br/>
        <w:t xml:space="preserve">In Hungary the changes of the political system made the multiples possible to establish their presence in the country. While in the 1990’s years we can observe multiplies inflow and expansion in the country, nowadays instead of their extension efforts we can speak about commercial concentration efforts in the country. Think it over: The Plus discount chain company will be merged into the Spar Group or in the near future expected marching out of the market chain that was originally belonging to the Louis Delhaize Group.</w:t>
      </w:r>
      <w:r>
        <w:rPr>
          <w:color w:val="000000"/>
          <w:sz w:val="24"/>
          <w:szCs w:val="24"/>
        </w:rPr>
        <w:br/>
        <w:t xml:space="preserve">During my research work I collected all the information – based on their website – about the multiples stores in Hungary as it was standing by 1. 10. 2012. Based upon those information we can draw the following conclusion: the country not only full with those market chains but because of the so-called plasa-stop order, permission for establishing new stores will be not granted in the near-future, but also we can detect from those information that – from investment point of you – what kind of facts were the most important for the different multiples staying in Hungary. Wheither the number of inhabitants, the good geographical-transportation circumstances, its function perhaps the capacity of the purchasing power, perhaps all of those facts together are the decisive factor for the multiples companies to decide where want to establish new stores? Where is the main point of a certain multiples? Wheither more stores were established in the west part of Hungary only because of its favorable geographical location and the higher income/per person which country as well as? Which country seat is the first in field of the number of retail chain stores per 100 thousand and the 20 thousand inhabitants?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2657">
    <w:multiLevelType w:val="hybridMultilevel"/>
    <w:lvl w:ilvl="0" w:tplc="2540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2657">
    <w:abstractNumId w:val="40112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900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