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SULLER</w:t>
            </w:r>
          </w:p>
          <w:p w:rsidR="00C275A3" w:rsidRDefault="00A96AEC" w:rsidP="00C275A3">
            <w:pPr>
              <w:pStyle w:val="Hallgatokepzes"/>
            </w:pPr>
            <w:r>
              <w:t>Horticultural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Forgács</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Róbert Oláh</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Improvements in in vitro vine regeneration efficiency for the utilisation of genetic variability at the cell level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Climate change, new cultivation techniques and the globalisation of vine production have all raised new challenges that conventional breeding is unable to meet, or only at a very slow pace. The latter problem can be overcome by improving the properties of existing varieties by selecting or developing new clones. This process can be assisted using the in vitro mutation and selection technique. In vitro mutation and selection is based on a highly efficient regeneration system that allows mutations to be identified and new clones to be produced. The aim of the present work was to elaborate a liquid-based system more efficient than the existing regeneration method, which would provide a reliable background for in vitro selection and mutation treatments. Embryogenic callus development was successfully induced for five varieties. Eight different media were tested for their effect on the fresh mass gain of embryogenic cell suspensions of ‘Chardonnay’.</w:t>
      </w:r>
    </w:p>
    <w:p>
      <w:pPr>
        <w:pBdr/>
        <w:spacing w:before="240" w:after="240" w:line="240" w:lineRule="auto"/>
        <w:ind w:left="0" w:right="0"/>
        <w:jc w:val="left"/>
      </w:pPr>
      <w:r>
        <w:rPr>
          <w:color w:val="000000"/>
          <w:sz w:val="24"/>
          <w:szCs w:val="24"/>
        </w:rPr>
        <w:br/>
        <w:t xml:space="preserve">The conditions required for culture maintenance were successfully optimised for embryogenic cell suspensions of ‘Richter 110’. After comparing six different maintenance techniques, a method was elaborated with which a 47× gain in fresh mass was achieved by the end of the 5th week of culture. Different maintenance methods were found to influence both the pH of the culture and the mass gain. It proved possible to identify three types of cell aggregates, each of which could be transformed into the other forms.</w:t>
      </w:r>
    </w:p>
    <w:p>
      <w:pPr>
        <w:pBdr/>
        <w:spacing w:before="240" w:after="240" w:line="240" w:lineRule="auto"/>
        <w:ind w:left="0" w:right="0"/>
        <w:jc w:val="left"/>
      </w:pPr>
      <w:r>
        <w:rPr>
          <w:color w:val="000000"/>
          <w:sz w:val="24"/>
          <w:szCs w:val="24"/>
        </w:rPr>
        <w:t xml:space="preserve">Several nutrient media were compared in terms of their suitability for somatic embryogenesis induction, and the density of the culture was found to have a direct influence on the extent of embryo differentiation. At higher density embryogenesis was inhibited, but this could be reversed by diluting the medium. In the case of the variety ‘Richter 110’ the optimisation of the regeneration method led to the elaboration of a cell suspension system with an efficiency of 2 000 000 embryo/g.</w:t>
      </w:r>
    </w:p>
    <w:p>
      <w:pPr>
        <w:pBdr/>
        <w:spacing w:before="240" w:after="240" w:line="240" w:lineRule="auto"/>
        <w:ind w:left="0" w:right="0"/>
        <w:jc w:val="left"/>
      </w:pPr>
      <w:r>
        <w:rPr>
          <w:color w:val="000000"/>
          <w:sz w:val="24"/>
          <w:szCs w:val="24"/>
        </w:rPr>
        <w:t xml:space="preserve">After developing the regeneration system, in vitro selection and mutation experiments were begun. To achieve in vitro mutations, embryogenic callus cultures of ‘Richter 110’ were irradiated with eight different doses of neutron rays (0–5.78 Gray). In vitro selection for drought stress was carried out by adding the osmotic agent PEG-6000 to the nutrient medium in six different concentrations (1–30 mass%). Both the in vitro mutation and selection experiments and the evaluation of the plants are still in progress.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31111">
    <w:multiLevelType w:val="hybridMultilevel"/>
    <w:lvl w:ilvl="0" w:tplc="90046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31111">
    <w:abstractNumId w:val="27831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553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