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MÁRIA HEGEDŰS</w:t>
            </w:r>
          </w:p>
          <w:p w:rsidR="00C275A3" w:rsidRDefault="00A96AEC" w:rsidP="00C275A3">
            <w:pPr>
              <w:pStyle w:val="Hallgatokepzes"/>
            </w:pPr>
            <w:r>
              <w:t>MSc in Plant Protection</w:t>
            </w:r>
            <w:r>
              <w:br/>
            </w:r>
            <w:r w:rsidR="00E77B23">
              <w:t>MSc, 4. semester</w:t>
            </w:r>
          </w:p>
          <w:p w:rsidR="00C265CE" w:rsidRPr="009E5FF1" w:rsidRDefault="00E77B23" w:rsidP="00C275A3">
            <w:pPr>
              <w:pStyle w:val="Hallgatokepzes"/>
              <w:rPr>
                <w:b/>
                <w:caps/>
              </w:rPr>
            </w:pPr>
            <w:r>
              <w:t>Corvinus University of Budapest</w:t>
            </w:r>
            <w:r w:rsidR="00C275A3">
              <w:br/>
            </w:r>
            <w:r w:rsidR="00DB4822">
              <w:t>Faculty of Horticultural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Annamária Tóth</w:t>
            </w:r>
          </w:p>
          <w:p w:rsidR="00DB4822" w:rsidRDefault="00DB4822" w:rsidP="00E11062">
            <w:pPr>
              <w:pStyle w:val="Konzulensek"/>
            </w:pPr>
            <w:r w:rsidRPr="00DB4822">
              <w:t>PhD Student, BCE KERTK</w:t>
            </w:r>
          </w:p>
        </w:tc>
      </w:tr>
      <w:tr w:rsidR="00DB4822" w:rsidTr="00DB4822">
        <w:tc>
          <w:tcPr>
            <w:tcW w:w="9854" w:type="dxa"/>
          </w:tcPr>
          <w:p w:rsidR="00DB4822" w:rsidRPr="00DB4822" w:rsidRDefault="00DB4822" w:rsidP="004D7940">
            <w:pPr>
              <w:pStyle w:val="Konzulensek"/>
            </w:pPr>
            <w:r w:rsidRPr="00DB4822">
              <w:t>Marietta Petróczy PhD</w:t>
            </w:r>
          </w:p>
          <w:p w:rsidR="00DB4822" w:rsidRDefault="00DB4822" w:rsidP="00E11062">
            <w:pPr>
              <w:pStyle w:val="Konzulensek"/>
            </w:pPr>
            <w:r w:rsidRPr="00DB4822">
              <w:t>assistant professor, BCE KERTK</w:t>
            </w:r>
          </w:p>
        </w:tc>
      </w:tr>
      <w:tr w:rsidR="00DB4822" w:rsidTr="00DB4822">
        <w:tc>
          <w:tcPr>
            <w:tcW w:w="9854" w:type="dxa"/>
          </w:tcPr>
          <w:p w:rsidR="00DB4822" w:rsidRPr="00DB4822" w:rsidRDefault="00DB4822" w:rsidP="004D7940">
            <w:pPr>
              <w:pStyle w:val="Konzulensek"/>
            </w:pPr>
            <w:r w:rsidRPr="00DB4822">
              <w:t>László Palkovics PhD</w:t>
            </w:r>
          </w:p>
          <w:p w:rsidR="00DB4822" w:rsidRDefault="00DB4822" w:rsidP="00E11062">
            <w:pPr>
              <w:pStyle w:val="Konzulensek"/>
            </w:pPr>
            <w:r w:rsidRPr="00DB4822">
              <w:t>professor, head of department , BCE KERTK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Efficacy of pesticides and foliar fertilizers against Colletotrichum acutatum</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MÁRIA HEGEDŰS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Efficacy of pesticides and foliar fertilizers against Colletotrichum acutatum</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Sour cherry anthracnose has appeared since 2006 in each year, causing significant losses for the producers. The aim of our study was to find effective active agents and foliar fertilizers which could further on become part of the plant protection technology against the fungus. In vitro efficacy studies were carried out in two dilutions, with four field isolates of Colletotrichum acutatum. Agar dilution technique was used for testing antifungal activity against mycelial growth and conidial germination. Additional in vivo experiments were started in 2012 with effective active agents in two sour cherry orchards.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group of systemic active agents, trifloxystrobin+tebuconazole, prochloraz, difenoconazole and penconazole inhibited completely the mycelial growth. Fluopyram+tebuconazole and tebuconazole proved to be effective only in practical dose. The contact fungicide mancozeb destroyed the mycelia of the pathogen on the surface of poisoned agar plates in both applied dose. In 10x dilution of practical dose the efficacy of contact fungicides decreased significantly. The foliar fertilizer Sergomil inhibited the growth of the pathogen by 80%, giving better result than fenhexamid and many other fungicides.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In the in vivo field experiments the infection rate stayed under 0.05%, due to plant protection technologies and to low precipitation during fruit ripening. Further small and large scale experiments are planned in order to develop the most accurate plant protection technology.</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The main components of the developed technology are the followings:</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Besides removing peduncles and fruit mummies, spraying with copper active ingredient is recommended in dormant period. Intense pruning is recommended.</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Three treatments are required against anthracnose from fruit setting to ripening.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Adjuvant agent should be added in case of each spraying.</w:t>
      </w:r>
    </w:p>
    <w:p>
      <w:pPr>
        <w:pBdr/>
        <w:spacing w:before="0" w:after="0" w:line="240" w:lineRule="auto"/>
        <w:ind w:left="0" w:right="0"/>
        <w:jc w:val="left"/>
      </w:pPr>
      <w:r>
        <w:rPr>
          <w:color w:val="000000"/>
          <w:sz w:val="24"/>
          <w:szCs w:val="24"/>
        </w:rPr>
        <w:t xml:space="preserve"> </w:t>
      </w:r>
    </w:p>
    <w:p>
      <w:pPr>
        <w:pBdr/>
        <w:spacing w:before="240" w:after="240" w:line="240" w:lineRule="auto"/>
        <w:ind w:left="0" w:right="0"/>
        <w:jc w:val="left"/>
      </w:pPr>
      <w:r>
        <w:rPr>
          <w:color w:val="000000"/>
          <w:sz w:val="24"/>
          <w:szCs w:val="24"/>
        </w:rPr>
        <w:t xml:space="preserve">- A contact fungicide for the first and the second, and a systemic fungicide for the third treatment are recommended. The second treatment should be done three weeks before harvest, and the third spraying has to be timed 7 days before harvest. The withdrawal period has to be precisely followed.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449212">
    <w:multiLevelType w:val="hybridMultilevel"/>
    <w:lvl w:ilvl="0" w:tplc="23248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449212">
    <w:abstractNumId w:val="754492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88475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