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ANNA LANTOS</w:t>
            </w:r>
          </w:p>
          <w:p w:rsidR="00C275A3" w:rsidRDefault="00A96AEC" w:rsidP="00C275A3">
            <w:pPr>
              <w:pStyle w:val="Hallgatokepzes"/>
            </w:pPr>
            <w:r>
              <w:t>Plant Protection</w:t>
            </w:r>
            <w:r>
              <w:br/>
            </w:r>
            <w:r w:rsidR="00E77B23">
              <w:t>MSc, 4. semester</w:t>
            </w:r>
          </w:p>
          <w:p w:rsidR="00C265CE" w:rsidRPr="009E5FF1" w:rsidRDefault="00E77B23" w:rsidP="00C275A3">
            <w:pPr>
              <w:pStyle w:val="Hallgatokepzes"/>
              <w:rPr>
                <w:b/>
                <w:caps/>
              </w:rPr>
            </w:pPr>
            <w:r>
              <w:t>Corvinus University of Budapest</w:t>
            </w:r>
            <w:r w:rsidR="00C275A3">
              <w:br/>
            </w:r>
            <w:r w:rsidR="00DB4822">
              <w:t>Faculty of Horticultural Science</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Marietta  Petróczy Phd.</w:t>
            </w:r>
          </w:p>
          <w:p w:rsidR="00DB4822" w:rsidRDefault="00DB4822" w:rsidP="00E11062">
            <w:pPr>
              <w:pStyle w:val="Konzulensek"/>
            </w:pPr>
            <w:r w:rsidRPr="00DB4822">
              <w:t>  assistant professor, BCE KERTK</w:t>
            </w:r>
          </w:p>
        </w:tc>
      </w:tr>
      <w:tr w:rsidR="00DB4822" w:rsidTr="00DB4822">
        <w:tc>
          <w:tcPr>
            <w:tcW w:w="9854" w:type="dxa"/>
          </w:tcPr>
          <w:p w:rsidR="00DB4822" w:rsidRPr="00DB4822" w:rsidRDefault="00DB4822" w:rsidP="004D7940">
            <w:pPr>
              <w:pStyle w:val="Konzulensek"/>
            </w:pPr>
            <w:r w:rsidRPr="00DB4822">
              <w:t>Éva Szabóné Erdélyi Phd.</w:t>
            </w:r>
          </w:p>
          <w:p w:rsidR="00DB4822" w:rsidRDefault="00DB4822" w:rsidP="00E11062">
            <w:pPr>
              <w:pStyle w:val="Konzulensek"/>
            </w:pPr>
            <w:r w:rsidRPr="00DB4822">
              <w:t>associate professor, BGF KVIK</w:t>
            </w:r>
          </w:p>
        </w:tc>
      </w:tr>
      <w:tr w:rsidR="00DB4822" w:rsidTr="00DB4822">
        <w:tc>
          <w:tcPr>
            <w:tcW w:w="9854" w:type="dxa"/>
          </w:tcPr>
          <w:p w:rsidR="00DB4822" w:rsidRPr="00DB4822" w:rsidRDefault="00DB4822" w:rsidP="004D7940">
            <w:pPr>
              <w:pStyle w:val="Konzulensek"/>
            </w:pPr>
            <w:r w:rsidRPr="00DB4822">
              <w:t>László Palkovics Phd.</w:t>
            </w:r>
          </w:p>
          <w:p w:rsidR="00DB4822" w:rsidRDefault="00DB4822" w:rsidP="00E11062">
            <w:pPr>
              <w:pStyle w:val="Konzulensek"/>
            </w:pPr>
            <w:r w:rsidRPr="00DB4822">
              <w:t>professor, BCE KERTK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Fungicide sensitivity of Monilinia laxa and Monilinia fructicola isolates</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Monilinia species cause blossom blight, cankers and brown rot of stone fruits. A few years ago Monilinia fructicola, a quarantine pathogen appeared in Hungarian orchards in addition to Monilinia laxa. The spread of Monilinia fructicola modifies plant protection technology since the use of fungicides becomes necessary during the ripening season. Increasing usage of pesticides might has resulted the development of resistant populations, so time to time fungicide efficacy studies are required.</w:t>
      </w:r>
    </w:p>
    <w:p>
      <w:pPr>
        <w:pBdr/>
        <w:spacing w:before="240" w:after="240" w:line="240" w:lineRule="auto"/>
        <w:ind w:left="0" w:right="0"/>
        <w:jc w:val="left"/>
      </w:pPr>
      <w:r>
        <w:rPr>
          <w:color w:val="000000"/>
          <w:sz w:val="24"/>
          <w:szCs w:val="24"/>
        </w:rPr>
        <w:t xml:space="preserve">In our study 9 Monilinia isolates were collected for the in vitro tests. Eight isolates have been identified as Monilinia laxa and one as Monilinia fructicola by morphology and molecular method as well. In the laboratory the effectiveness of 16 fungicides were tested in two dilutions on mycelium growth and conidial germination. Presence of spot mutation responsible for Qoi resistance was examined by Real Time PCR.</w:t>
      </w:r>
    </w:p>
    <w:p>
      <w:pPr>
        <w:pBdr/>
        <w:spacing w:before="240" w:after="240" w:line="240" w:lineRule="auto"/>
        <w:ind w:left="0" w:right="0"/>
        <w:jc w:val="left"/>
      </w:pPr>
      <w:r>
        <w:rPr>
          <w:color w:val="000000"/>
          <w:sz w:val="24"/>
          <w:szCs w:val="24"/>
        </w:rPr>
        <w:t xml:space="preserve">Fungicide effect has been noticed in practical dose in case of Orius 20 EW, Mirage 45 EC, Systhane Duplo, Flint max, Signum WG and Teldor 500 SC for both Monilinia species. Chorus 50 WG inhibited mycelial growth of Monilinia fructicola only, while Topsin-M 70 WDG blocked that of Monilinia laxa completely. No significant difference has been found in the affectivity on conidial germination of the two species. Cupertine M proved to be the most efficient among contact fungicides while Nordox 75 WG had the strongest preventive effect among chemicals containing copper. In case of Qui resistance studies Real Time PCR yielded copies of DNA containing spot mutation in mitochondria. The reaults of Real Time PCR analysis correlated with the strobilurin sensitivity of isolates on the surface of poisoned agar plates.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7564349">
    <w:multiLevelType w:val="hybridMultilevel"/>
    <w:lvl w:ilvl="0" w:tplc="7052237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7564349">
    <w:abstractNumId w:val="9756434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7166392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