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ARADI</w:t>
            </w:r>
          </w:p>
          <w:p w:rsidR="00C275A3" w:rsidRDefault="00A96AEC" w:rsidP="00C275A3">
            <w:pPr>
              <w:pStyle w:val="Hallgatokepzes"/>
            </w:pPr>
            <w:r>
              <w:t>Plant Pathology</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Végh</w:t>
            </w:r>
          </w:p>
          <w:p w:rsidR="00DB4822" w:rsidRDefault="00DB4822" w:rsidP="00E11062">
            <w:pPr>
              <w:pStyle w:val="Konzulensek"/>
            </w:pPr>
            <w:r w:rsidRPr="00DB4822">
              <w:t>professor’s assistant, BCE KERTK</w:t>
            </w:r>
          </w:p>
        </w:tc>
      </w:tr>
      <w:tr w:rsidR="00DB4822" w:rsidTr="00DB4822">
        <w:tc>
          <w:tcPr>
            <w:tcW w:w="9854" w:type="dxa"/>
          </w:tcPr>
          <w:p w:rsidR="00DB4822" w:rsidRPr="00DB4822" w:rsidRDefault="00DB4822" w:rsidP="004D7940">
            <w:pPr>
              <w:pStyle w:val="Konzulensek"/>
            </w:pPr>
            <w:r w:rsidRPr="00DB4822">
              <w:t>Dr. László Palkovics</w:t>
            </w:r>
          </w:p>
          <w:p w:rsidR="00DB4822" w:rsidRDefault="00DB4822" w:rsidP="00E11062">
            <w:pPr>
              <w:pStyle w:val="Konzulensek"/>
            </w:pPr>
            <w:r w:rsidRPr="00DB4822">
              <w:t>professor, head of department,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Susceptibility of watermelon and melon cultivars to Acidovorax avenae subsp. citrulli bacteria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melon’s bacterial fruit blotch (BFB) disease caused by Acidovorax avenae subsp. citrulli is spread all over the world and can be found on almost every continent. The presence of the pathogen was first described in Hungary at 2007 in Medgyesegyháza, when it caused a great yield loss. Probably the disease was imported by infected transplants from Turkey, where the appearance of the bacteria had already been proved. The aim of our studies was to test the susceptibility of transplants and fruits of the melon and watermelon cultivars to the bacteria.</w:t>
      </w:r>
    </w:p>
    <w:p>
      <w:pPr>
        <w:pBdr/>
        <w:spacing w:before="240" w:after="240" w:line="240" w:lineRule="auto"/>
        <w:ind w:left="0" w:right="0"/>
        <w:jc w:val="left"/>
      </w:pPr>
      <w:r>
        <w:rPr>
          <w:color w:val="000000"/>
          <w:sz w:val="24"/>
          <w:szCs w:val="24"/>
        </w:rPr>
        <w:t xml:space="preserve">The experiments were performed in the Department of Plant Pathology’s of the Corvinus University of Budapest greenhouse and in the laboratory. Before the infection, we had tested the pathogenicity and virulence of the bacteria on a cucumber. The pathogen infected the test plant moderately, and was re-isolated on King’s B medium. A bacterial suspension (106 CFU/ml) was sprayed on the melon seedlings. The developed symptoms were evaluated and the results indicated that the two melon seedlings (‘Brennus’ and ‘London’) were mildly susceptible to the bacteria. The typical signs could be noticed on the leaves. There was no significant difference in the infection rate of the ‘Crisby’, the ‘Crimson Sweet’ and the ‘Sugar Baby’ cultivars. On the cotyledons serious symptoms have evolved such as necrosis and drying, on the true leaves V-shaped necrotic spots appeared. According to the results of our experiment, the ‘Nosztalgia’ is the only one cultivar which was resistant to the bacteria. The grafted ‘Crisby’ plants were more resistant than on it’s own root. The plants were infected through external damages; the fruits were inoculated by a needle which had been previously dipped into the bacterial suspension. Neither of the two melons developed the typical signs. The most susceptible cultivar was the ‘Sugar Baby’ which flesh got fully rotten. Cultivars like ‘Crisby’ seemed quite resistant.</w:t>
      </w:r>
    </w:p>
    <w:p>
      <w:pPr>
        <w:pBdr/>
        <w:spacing w:before="240" w:after="240" w:line="240" w:lineRule="auto"/>
        <w:ind w:left="0" w:right="0"/>
        <w:jc w:val="left"/>
      </w:pPr>
      <w:r>
        <w:rPr>
          <w:color w:val="000000"/>
          <w:sz w:val="24"/>
          <w:szCs w:val="24"/>
        </w:rPr>
        <w:t xml:space="preserve">Comparing the susceptibility of the fruits and the plants of the different melon cultivars to the bacteria, was confirm that there is no relationship between them. In the future, these tests should be extended with a study containing experiments with seed infection, seed transmission and involving other cultivars in the tests. According to the results, we can not ignore the importance of the pathogen, since it can cause very serious damages if the conditions are favourable for the bacteria.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95401">
    <w:multiLevelType w:val="hybridMultilevel"/>
    <w:lvl w:ilvl="0" w:tplc="40203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95401">
    <w:abstractNumId w:val="106954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421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