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ATTILA CSERNATONI</w:t>
            </w:r>
          </w:p>
          <w:p w:rsidR="00C275A3" w:rsidRDefault="00A96AEC" w:rsidP="00C275A3">
            <w:pPr>
              <w:pStyle w:val="Hallgatokepzes"/>
            </w:pPr>
            <w:r>
              <w:t>Geography</w:t>
            </w:r>
            <w:r>
              <w:br/>
            </w:r>
            <w:r w:rsidR="00E77B23">
              <w:t>Unified, 13.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Tamas Telbisz</w:t>
            </w:r>
          </w:p>
          <w:p w:rsidR="00DB4822" w:rsidRDefault="00DB4822" w:rsidP="00E11062">
            <w:pPr>
              <w:pStyle w:val="Konzulensek"/>
            </w:pPr>
            <w:r w:rsidRPr="00DB4822">
              <w:t>Senior lecturer,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GIS-analysis of Királyerdő Mountain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Királyerdő Mountain is rich in spectacular karst forms. The main forms are dolines which extend on 450 km2. This is one of the most biggest karst-plateaus of Romania, in the north-west part of Occideltal Mountain. In my work I made a GIS-analisys of this plateau, analising 2338 dolines. The results were very interesting, which are visualized in various maps, tables and diagrams.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569831">
    <w:multiLevelType w:val="hybridMultilevel"/>
    <w:lvl w:ilvl="0" w:tplc="493343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569831">
    <w:abstractNumId w:val="425698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84781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