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NAGY</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Simon</w:t>
            </w:r>
          </w:p>
          <w:p w:rsidR="00DB4822" w:rsidRDefault="00DB4822" w:rsidP="00E11062">
            <w:pPr>
              <w:pStyle w:val="Konzulensek"/>
            </w:pPr>
            <w:r w:rsidRPr="00DB4822">
              <w:t>adjunct, ME MAK</w:t>
            </w:r>
          </w:p>
        </w:tc>
      </w:tr>
      <w:tr w:rsidR="00DB4822" w:rsidTr="00DB4822">
        <w:tc>
          <w:tcPr>
            <w:tcW w:w="9854" w:type="dxa"/>
          </w:tcPr>
          <w:p w:rsidR="00DB4822" w:rsidRPr="00DB4822" w:rsidRDefault="00DB4822" w:rsidP="004D7940">
            <w:pPr>
              <w:pStyle w:val="Konzulensek"/>
            </w:pPr>
            <w:r w:rsidRPr="00DB4822">
              <w:t>Csilla Paróczai</w:t>
            </w:r>
          </w:p>
          <w:p w:rsidR="00DB4822" w:rsidRDefault="00DB4822" w:rsidP="00E11062">
            <w:pPr>
              <w:pStyle w:val="Konzulensek"/>
            </w:pPr>
            <w:r w:rsidRPr="00DB4822">
              <w:t>Process Engineer,  Guardian Orosháza Inc.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Ideal ration of carbon/sulphate in float glass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difference between the melt and the fluid capacity of the gas dissolving the influence of temperature changes. The gas-dissolving capacity of the liquid decreases at increasing temperature, the melt is increased. This technology is more adversely affected by the starting melt. The melt was cooled to precipitate out, forming gas bubbles. If the bubbles expel the material in a molten state fails, the solids remain, causing significant error. The float glass manufacturing process is a very important problem, as the bottle - as opposed to. with metals - transparent, so even very small bubbles and scrap caused noticeable to the naked eye. The glass industry in several ways to reduce the number of bubbles in common, these aides may include physical and chemical purification, but the two methods may be preferable to a sequential application.</w:t>
      </w:r>
      <w:r>
        <w:rPr>
          <w:color w:val="000000"/>
          <w:sz w:val="24"/>
          <w:szCs w:val="24"/>
        </w:rPr>
        <w:br/>
        <w:t xml:space="preserve">Guardian  Orosháza Inc.the reaction of carboxylic and sulphate is used to produce large-diameter bubbles in the melt, which bubbles facilitate purification of the glass. In my thesis I tried these two ideal excipient ratio calculated. Taking into account the basic sulfate, and organic matter content, and any adverse reactions occuring, and the mixing efficiency, in practice, i do calculations to optimize the quantity of materials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82671">
    <w:multiLevelType w:val="hybridMultilevel"/>
    <w:lvl w:ilvl="0" w:tplc="24624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82671">
    <w:abstractNumId w:val="10182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623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