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KRISZTINIA IBOLYA SPITZMÜLLER</w:t>
            </w:r>
          </w:p>
          <w:p w:rsidR="00C275A3" w:rsidRDefault="00A96AEC" w:rsidP="00C275A3">
            <w:pPr>
              <w:pStyle w:val="Hallgatokepzes"/>
            </w:pPr>
            <w:r>
              <w:t>Material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Farkas</w:t>
            </w:r>
          </w:p>
          <w:p w:rsidR="00DB4822" w:rsidRDefault="00DB4822" w:rsidP="00E11062">
            <w:pPr>
              <w:pStyle w:val="Konzulensek"/>
            </w:pPr>
            <w:r w:rsidRPr="00DB4822">
              <w:t>  senior research fellow,  BorsodChem Ltd.</w:t>
            </w:r>
          </w:p>
        </w:tc>
      </w:tr>
      <w:tr w:rsidR="00DB4822" w:rsidTr="00DB4822">
        <w:tc>
          <w:tcPr>
            <w:tcW w:w="9854" w:type="dxa"/>
          </w:tcPr>
          <w:p w:rsidR="00DB4822" w:rsidRPr="00DB4822" w:rsidRDefault="00DB4822" w:rsidP="004D7940">
            <w:pPr>
              <w:pStyle w:val="Konzulensek"/>
            </w:pPr>
            <w:r w:rsidRPr="00DB4822">
              <w:t>Dr. János Lakatos</w:t>
            </w:r>
          </w:p>
          <w:p w:rsidR="00DB4822" w:rsidRDefault="00DB4822" w:rsidP="00E11062">
            <w:pPr>
              <w:pStyle w:val="Konzulensek"/>
            </w:pPr>
            <w:r w:rsidRPr="00DB4822">
              <w:t>  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regeneration possibilities of spent activated carbons used for purification of industrial wastewaters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Activated carbon has large number of pores and large internal surface. The use of activated carbon in industry is wide spread. It is used an adsorbent for many of the chemical technological process by BorsodChem, which is located in Kazincbarcika. For example the purification of salted waters arisen from manufacturing MDI. The task of activate carbon is bind the organic material in industrial wastewaters. so it not to let environmental-damaging organic material (MDA, methanol, aniline) get into drains. The main objective we can produce crystalline salt from industrial wastewaters, so we can recycle the salt to electrolysis.</w:t>
      </w:r>
    </w:p>
    <w:p>
      <w:pPr>
        <w:pBdr/>
        <w:spacing w:before="240" w:after="240" w:line="240" w:lineRule="auto"/>
        <w:ind w:left="0" w:right="0"/>
        <w:jc w:val="left"/>
      </w:pPr>
      <w:r>
        <w:rPr>
          <w:color w:val="000000"/>
          <w:sz w:val="24"/>
          <w:szCs w:val="24"/>
        </w:rPr>
        <w:t xml:space="preserve">The adsorptive capacity of carbons is obviously finite. The exhausted carbon has to be regenerated, reactivated. There are several cases where regeneration or reactivation of the spent carbon is either technically or economically not viable. In these cases, the common practice is the proper disposal of the spent carbon. Activated carbon is very expensive therefore they try to recycle the spent carbon. This cost possible to reduce, if the regeretaing is cheaper than buying a new carbon. More path of regeneration are possible. In my essay The efficiency of regeneration with different pH solution combined with the steam distillation, which was preferred by the technology .To improve the regeneration efficiency the possibility of thermal regeneration was tested. The common two steps thermal regeneration procedure was used, based on CO2 activation. We investigated gas- and solution adsorption to charaterize carbon.</w:t>
      </w:r>
    </w:p>
    <w:p>
      <w:pPr>
        <w:pBdr/>
        <w:spacing w:before="240" w:after="240" w:line="240" w:lineRule="auto"/>
        <w:ind w:left="0" w:right="0"/>
        <w:jc w:val="left"/>
      </w:pPr>
      <w:r>
        <w:rPr>
          <w:color w:val="000000"/>
          <w:sz w:val="24"/>
          <w:szCs w:val="24"/>
        </w:rPr>
        <w:t xml:space="preserve">Determining the methylene-blue and para.nitrophenol sorption in solution phase and N</w:t>
      </w:r>
      <w:r>
        <w:rPr>
          <w:color w:val="000000"/>
          <w:position w:val="-4"/>
          <w:sz w:val="21"/>
          <w:szCs w:val="21"/>
          <w:vertAlign w:val="subscript"/>
        </w:rPr>
        <w:t xml:space="preserve">2</w:t>
      </w:r>
      <w:r>
        <w:rPr>
          <w:color w:val="000000"/>
          <w:sz w:val="24"/>
          <w:szCs w:val="24"/>
        </w:rPr>
        <w:t xml:space="preserve"> and CO</w:t>
      </w:r>
      <w:r>
        <w:rPr>
          <w:color w:val="000000"/>
          <w:position w:val="-4"/>
          <w:sz w:val="21"/>
          <w:szCs w:val="21"/>
          <w:vertAlign w:val="subscript"/>
        </w:rPr>
        <w:t xml:space="preserve">2</w:t>
      </w:r>
      <w:r>
        <w:rPr>
          <w:color w:val="000000"/>
          <w:sz w:val="24"/>
          <w:szCs w:val="24"/>
        </w:rPr>
        <w:t xml:space="preserve"> adsorption from gas phase the sorption data proved that the thermal activation can restore 90 % of the sorbent initial sorption capacity.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39697">
    <w:multiLevelType w:val="hybridMultilevel"/>
    <w:lvl w:ilvl="0" w:tplc="98835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39697">
    <w:abstractNumId w:val="80639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034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