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GYURICZA</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Dulovics Dezsőné dr.,</w:t>
            </w:r>
          </w:p>
          <w:p w:rsidR="00DB4822" w:rsidRDefault="00DB4822" w:rsidP="00E11062">
            <w:pPr>
              <w:pStyle w:val="Konzulensek"/>
            </w:pPr>
            <w:r w:rsidRPr="00DB4822">
              <w:t>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investigation of sewage disposal in Tolmács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sewage disposal is not solved currently in Tolmács. In the 340 households is solved the disposal of the nascent sewage theoretically by local containers. The sewage is stored in the territory of the plot and carried with a sniff truck. Lately increased the costs of the removal dramatically because the savage is not carried to Bánk any more, but to the sewage farm in North Budapest, which is 54 away from Tolmács. In this way the increased costs were bothered to the population. The big part of the population can’t pay this, so they try to find other ways. For example, the sewage is placed in pits at the bottom of the gardens or the material of the cesspit is pumped out. So leaks the sewage directly into the soil increasing the harmful substance content of the underground water significantly. This means a considerable risk in case of Tolmács because in some households is the drinking water gained from the underground water.</w:t>
      </w:r>
    </w:p>
    <w:p>
      <w:pPr>
        <w:pBdr/>
        <w:spacing w:before="240" w:after="240" w:line="240" w:lineRule="auto"/>
        <w:ind w:left="0" w:right="0"/>
        <w:jc w:val="left"/>
      </w:pPr>
      <w:r>
        <w:rPr>
          <w:color w:val="000000"/>
          <w:sz w:val="24"/>
          <w:szCs w:val="24"/>
        </w:rPr>
        <w:t xml:space="preserve">The local government surveying the severity of the problem and would like to build up the drainage with help of an EU support. After the EU accession, the EU rules refer to Hungary, too, between them the water framework governing principle. According to this principle, sewage system is needed only in such village, where it is economical or the water protection interest requires that. According to my knowledge the water protection not requires that, so I checked the thrift of drainage. Because of the running expenses I don’t find the drainage economical.</w:t>
      </w:r>
    </w:p>
    <w:p>
      <w:pPr>
        <w:pBdr/>
        <w:spacing w:before="240" w:after="240" w:line="240" w:lineRule="auto"/>
        <w:ind w:left="0" w:right="0"/>
        <w:jc w:val="left"/>
      </w:pPr>
      <w:r>
        <w:rPr>
          <w:color w:val="000000"/>
          <w:sz w:val="24"/>
          <w:szCs w:val="24"/>
        </w:rPr>
        <w:t xml:space="preserve">As neither the current solution nor the sewage system is sufficient for Tolmács, an other solution has to be found.</w:t>
      </w:r>
    </w:p>
    <w:p>
      <w:pPr>
        <w:pBdr/>
        <w:spacing w:before="240" w:after="240" w:line="240" w:lineRule="auto"/>
        <w:ind w:left="0" w:right="0"/>
        <w:jc w:val="left"/>
      </w:pPr>
      <w:r>
        <w:rPr>
          <w:color w:val="000000"/>
          <w:sz w:val="24"/>
          <w:szCs w:val="24"/>
        </w:rPr>
        <w:t xml:space="preserve">After the oozing test I opted for the poplar planter sewage cleaning. Which one worked I out according to the sample of Aparhant.</w:t>
      </w:r>
    </w:p>
    <w:p>
      <w:pPr>
        <w:pBdr/>
        <w:spacing w:before="240" w:after="240" w:line="240" w:lineRule="auto"/>
        <w:ind w:left="0" w:right="0"/>
        <w:jc w:val="left"/>
      </w:pPr>
      <w:r>
        <w:rPr>
          <w:color w:val="000000"/>
          <w:sz w:val="24"/>
          <w:szCs w:val="24"/>
        </w:rPr>
        <w:t xml:space="preserve">In Aparhant bought the local government a sniff truck and built selves sewage farm with subvention, from the people is the sewage dispatched free. I would be able to imagine a similar system in Tolmács,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16170">
    <w:multiLevelType w:val="hybridMultilevel"/>
    <w:lvl w:ilvl="0" w:tplc="675343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16170">
    <w:abstractNumId w:val="56516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4495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