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ISTVÁN</w:t>
            </w:r>
          </w:p>
          <w:p w:rsidR="00C275A3" w:rsidRDefault="00A96AEC" w:rsidP="00C275A3">
            <w:pPr>
              <w:pStyle w:val="Hallgatokepzes"/>
            </w:pPr>
            <w:r>
              <w:t>építőmérnök, tűz- és katasztrófavédelmi szakirány</w:t>
            </w:r>
            <w:r>
              <w:br/>
            </w:r>
            <w:r w:rsidR="00E77B23">
              <w:t>BSc, 7. félév</w:t>
            </w:r>
          </w:p>
          <w:p w:rsidR="00C265CE" w:rsidRPr="009E5FF1" w:rsidRDefault="00E77B23" w:rsidP="00C275A3">
            <w:pPr>
              <w:pStyle w:val="Hallgatokepzes"/>
              <w:rPr>
                <w:b/>
                <w:caps/>
              </w:rPr>
            </w:pPr>
            <w:r>
              <w:t>Szent István Egyetem</w:t>
            </w:r>
            <w:r w:rsidR="00C275A3">
              <w:br/>
            </w:r>
            <w:r w:rsidR="00DB4822">
              <w:t>Ybl Miklós Építéstudományi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Dombi József</w:t>
            </w:r>
          </w:p>
          <w:p w:rsidR="00DB4822" w:rsidRDefault="00DB4822" w:rsidP="00E11062">
            <w:pPr>
              <w:pStyle w:val="Konzulensek"/>
            </w:pPr>
            <w:r w:rsidRPr="00DB4822">
              <w:t>tanszéki mérnök,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Alternatív megoldás tűzoltó készülékek elhelyezéséhez – az „oltóanyag-egység”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hazai tűzvédelmi szabályozás jelentős változás előtt áll. A szabályozási koncepció egyik fő eleme a mérnöki módszerek alkalmazása. Ennek kapcsán vettem górcső alá a tűzoltó készülékek készenlétben tartására vonatkozó előírásokat.</w:t>
      </w:r>
    </w:p>
    <w:p>
      <w:pPr>
        <w:widowControl w:val="on"/>
        <w:pBdr/>
        <w:spacing w:before="240" w:after="240" w:line="240" w:lineRule="auto"/>
        <w:ind w:left="0" w:right="0"/>
        <w:jc w:val="left"/>
      </w:pPr>
      <w:r>
        <w:rPr>
          <w:color w:val="000000"/>
          <w:sz w:val="24"/>
          <w:szCs w:val="24"/>
        </w:rPr>
        <w:t xml:space="preserve">A tűzoltó készülékek elhelyezésének szabályait tanulmányozva arra lettem figyelmes, hogy általános esetekben – ahol konkrétan nincs külön jogszabályi, hatósági, szabvány előírás – csak a készenlétben tartandó eszközök darabszámát határozza meg az Országos Tűzvédelmi Szabályzatról szóló 28/2011. (IX. 6.) BM rendelet.</w:t>
      </w:r>
    </w:p>
    <w:p>
      <w:pPr>
        <w:widowControl w:val="on"/>
        <w:pBdr/>
        <w:spacing w:before="240" w:after="240" w:line="240" w:lineRule="auto"/>
        <w:ind w:left="0" w:right="0"/>
        <w:jc w:val="left"/>
      </w:pPr>
      <w:r>
        <w:rPr>
          <w:color w:val="000000"/>
          <w:sz w:val="24"/>
          <w:szCs w:val="24"/>
        </w:rPr>
        <w:t xml:space="preserve">Felmerült bennem a kérdés, ilyen esetekben nem lenne-e érdemes figyelembe venni az adott készülékek oltásteljesítményét is? A válasz keresése közben belevetettem magamat a német szabályozásba is, hátha külföldön más előírásokat alkalmaznak. Ekkor akadtam az ún. „oltóanyag-egység” fogalmára (Löschmitteleinheit, LE), amely a készenlétben tartandó készülékek mennyiségét segít meghatározni. Az eljárásban azonnal megtetszett, hogy nem készülék töltettömeget, darabszámot vagy konkrét oltásteljesítményt ír elő, hanem az új egység bevezetésével egy adott létesítményre, épületre vonatkozó összteljesítményt. Ezzel máris nagyobb szabadságot kap a felhasználó, tervező, hiszen a készülékek darabszámát, oltásteljesítményét, töltettömegét úgy kell megtervezni, hogy az eszközök által nyújtott összteljesítmény – „oltóanyag-egység”-ben kifejezve – megfeleljen az előírások szerint meghatározottaknak.</w:t>
      </w:r>
    </w:p>
    <w:p>
      <w:pPr>
        <w:widowControl w:val="on"/>
        <w:pBdr/>
        <w:spacing w:before="240" w:after="240" w:line="240" w:lineRule="auto"/>
        <w:ind w:left="0" w:right="0"/>
        <w:jc w:val="left"/>
      </w:pPr>
      <w:r>
        <w:rPr>
          <w:color w:val="000000"/>
          <w:sz w:val="24"/>
          <w:szCs w:val="24"/>
        </w:rPr>
        <w:t xml:space="preserve">Dolgozatom első részében ismertetem a szabványos vizsgálati tüzeket. Ezek ismerete elengedhetetlen a készülékek oltásteljesítményével való manipuláláshoz. Ezután kitérek a magyarországi tűzoltó készülék elhelyezésének szabályozására, majd a német előírások részletes bemutatása következik. A különbségek és hasonlóságok könnyebb megítélése végett mintafeladatokat készítettem mind a magyar, mind pedig a német előírásokat követve. A magyar-német viszonylatok összehasonlítását grafikusan is elvégeztem egy „oltóanyag-egység” – alapterület diagram segítségével.</w:t>
      </w:r>
    </w:p>
    <w:p>
      <w:pPr>
        <w:widowControl w:val="on"/>
        <w:pBdr/>
        <w:spacing w:before="240" w:after="240" w:line="240" w:lineRule="auto"/>
        <w:ind w:left="0" w:right="0"/>
        <w:jc w:val="left"/>
      </w:pPr>
      <w:r>
        <w:rPr>
          <w:color w:val="000000"/>
          <w:sz w:val="24"/>
          <w:szCs w:val="24"/>
        </w:rPr>
        <w:t xml:space="preserve">A mintafeladatok után bemutatom a lefedettség [m</w:t>
      </w:r>
      <w:r>
        <w:rPr>
          <w:color w:val="000000"/>
          <w:position w:val="4"/>
          <w:sz w:val="21"/>
          <w:szCs w:val="21"/>
          <w:vertAlign w:val="superscript"/>
        </w:rPr>
        <w:t xml:space="preserve">2</w:t>
      </w:r>
      <w:r>
        <w:rPr>
          <w:color w:val="000000"/>
          <w:sz w:val="24"/>
          <w:szCs w:val="24"/>
        </w:rPr>
        <w:t xml:space="preserve">/db] fogalmát. Lefedettség görbéket készítettem annak megállapítására, hogy kis alapterületek (&lt;1500 m</w:t>
      </w:r>
      <w:r>
        <w:rPr>
          <w:color w:val="000000"/>
          <w:position w:val="4"/>
          <w:sz w:val="21"/>
          <w:szCs w:val="21"/>
          <w:vertAlign w:val="superscript"/>
        </w:rPr>
        <w:t xml:space="preserve">2</w:t>
      </w:r>
      <w:r>
        <w:rPr>
          <w:color w:val="000000"/>
          <w:sz w:val="24"/>
          <w:szCs w:val="24"/>
        </w:rPr>
        <w:t xml:space="preserve">) esetén milyen készülék-variációkból válogathatunk az optimális védelem elérése érdekében. Ebben a fejezetben az volt a célom, hogy a tervezést megkönnyítő, egyszerűsítő megoldást találjak.</w:t>
      </w:r>
    </w:p>
    <w:p>
      <w:pPr>
        <w:widowControl w:val="on"/>
        <w:pBdr/>
        <w:spacing w:before="240" w:after="240" w:line="240" w:lineRule="auto"/>
        <w:ind w:left="0" w:right="0"/>
        <w:jc w:val="left"/>
      </w:pPr>
      <w:r>
        <w:rPr>
          <w:color w:val="000000"/>
          <w:sz w:val="24"/>
          <w:szCs w:val="24"/>
        </w:rPr>
        <w:t xml:space="preserve">Az utolsó fejezetben összegzem a tapasztalataimat. Ismertetem a német rendszer nyújtotta előnyöket és hátrányokat.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99920">
    <w:multiLevelType w:val="hybridMultilevel"/>
    <w:lvl w:ilvl="0" w:tplc="21691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99920">
    <w:abstractNumId w:val="501999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24604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