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MIHÁLY</w:t>
            </w:r>
          </w:p>
          <w:p w:rsidR="00C275A3" w:rsidRDefault="00A96AEC" w:rsidP="00C275A3">
            <w:pPr>
              <w:pStyle w:val="Hallgatokepzes"/>
            </w:pPr>
            <w:r>
              <w:t>Civil engineering, Fire safety and Disaster management</w:t>
            </w:r>
            <w:r>
              <w:br/>
            </w:r>
            <w:r w:rsidR="00E77B23">
              <w:t>BSc, 7.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Dombi</w:t>
            </w:r>
          </w:p>
          <w:p w:rsidR="00DB4822" w:rsidRDefault="00DB4822" w:rsidP="00E11062">
            <w:pPr>
              <w:pStyle w:val="Konzulensek"/>
            </w:pPr>
            <w:r w:rsidRPr="00DB4822">
              <w:t>Research Worker,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Alternative solution to keep store fire extinguishers – the „extinguishing agent unit”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Domestic fire protection regulation is ahead of significant changes. One of the main issues of the regulatory concept is the application of engineering methods. Considering this I have carefully examined the regulations concerning the availability of fire extinguishers.</w:t>
      </w:r>
    </w:p>
    <w:p>
      <w:pPr>
        <w:widowControl w:val="on"/>
        <w:pBdr/>
        <w:spacing w:before="240" w:after="240" w:line="240" w:lineRule="auto"/>
        <w:ind w:left="0" w:right="0"/>
        <w:jc w:val="left"/>
      </w:pPr>
      <w:r>
        <w:rPr>
          <w:color w:val="000000"/>
          <w:sz w:val="24"/>
          <w:szCs w:val="24"/>
        </w:rPr>
        <w:t xml:space="preserve">Observing the regulations of the keep storing of fire extinguishing devices I have noticed that – where there’s no actual legislative, authoritative or patent standard regulation – only the number of fire extinguishers is defined by the Home available Department 28/2011. (IX. 6.).</w:t>
      </w:r>
    </w:p>
    <w:p>
      <w:pPr>
        <w:widowControl w:val="on"/>
        <w:pBdr/>
        <w:spacing w:before="240" w:after="240" w:line="240" w:lineRule="auto"/>
        <w:ind w:left="0" w:right="0"/>
        <w:jc w:val="left"/>
      </w:pPr>
      <w:r>
        <w:rPr>
          <w:color w:val="000000"/>
          <w:sz w:val="24"/>
          <w:szCs w:val="24"/>
        </w:rPr>
        <w:t xml:space="preserve">The question arose whether in cases like these it weren’t worth taking the extinguishing performance of the given devices into consideration. Whilst looking for the answer I have looked into the German regulation in case regulations are different abroad. Thus I have stumbled upon the notion of „extinguishing agent unit” (Löschmitteleinheit, LE) which helps define the number of fire extinguishing device. It fascinated me that introducing the new unit, not the device’s content weight, number or fire extinguishing performance is defined but the total performance concerning a given facility or building. Thereby greater freedom is provided to the architect, user as the number of devices, content weight and extinguishing performance has to be designed to conform the regulations in „extinguishing agent units”.</w:t>
      </w:r>
    </w:p>
    <w:p>
      <w:pPr>
        <w:widowControl w:val="on"/>
        <w:pBdr/>
        <w:spacing w:before="240" w:after="240" w:line="240" w:lineRule="auto"/>
        <w:ind w:left="0" w:right="0"/>
        <w:jc w:val="left"/>
      </w:pPr>
      <w:r>
        <w:rPr>
          <w:color w:val="000000"/>
          <w:sz w:val="24"/>
          <w:szCs w:val="24"/>
        </w:rPr>
        <w:t xml:space="preserve">In the first part of my thesis I introduce standard test fires. Without knowing those it is impossible to manipulate the extinguishing devices. Afterwards I am going to elaborate on the regulation of the keep storing of fire extinguishing devices in Hungary, then I will show German regulations in great detail. In order to better judge the similarities and differences I have prepared some sample exercises following both the Hungarian and the German regulations. This comparison I have also done with the help of a diagraph (floor area – „extinguishing agent unit”).</w:t>
      </w:r>
    </w:p>
    <w:p>
      <w:pPr>
        <w:widowControl w:val="on"/>
        <w:pBdr/>
        <w:spacing w:before="240" w:after="240" w:line="240" w:lineRule="auto"/>
        <w:ind w:left="0" w:right="0"/>
        <w:jc w:val="left"/>
      </w:pPr>
      <w:r>
        <w:rPr>
          <w:color w:val="000000"/>
          <w:sz w:val="24"/>
          <w:szCs w:val="24"/>
        </w:rPr>
        <w:t xml:space="preserve">Following the sample exercises I will introduce the notion of coverage (m</w:t>
      </w:r>
      <w:r>
        <w:rPr>
          <w:color w:val="000000"/>
          <w:position w:val="4"/>
          <w:sz w:val="21"/>
          <w:szCs w:val="21"/>
          <w:vertAlign w:val="superscript"/>
        </w:rPr>
        <w:t xml:space="preserve">2</w:t>
      </w:r>
      <w:r>
        <w:rPr>
          <w:color w:val="000000"/>
          <w:sz w:val="24"/>
          <w:szCs w:val="24"/>
        </w:rPr>
        <w:t xml:space="preserve">/pcs.). I have made „coverage curves” to establish what device variations can be chosen in case of small floor areas (&lt;1500 m</w:t>
      </w:r>
      <w:r>
        <w:rPr>
          <w:color w:val="000000"/>
          <w:position w:val="4"/>
          <w:sz w:val="21"/>
          <w:szCs w:val="21"/>
          <w:vertAlign w:val="superscript"/>
        </w:rPr>
        <w:t xml:space="preserve">2</w:t>
      </w:r>
      <w:r>
        <w:rPr>
          <w:color w:val="000000"/>
          <w:sz w:val="24"/>
          <w:szCs w:val="24"/>
        </w:rPr>
        <w:t xml:space="preserve">) in order to reach optimal protection. My aim in this chapter was to find a solution that makes planning simple.</w:t>
      </w:r>
    </w:p>
    <w:p>
      <w:pPr>
        <w:widowControl w:val="on"/>
        <w:pBdr/>
        <w:spacing w:before="240" w:after="240" w:line="240" w:lineRule="auto"/>
        <w:ind w:left="0" w:right="0"/>
        <w:jc w:val="left"/>
      </w:pPr>
      <w:r>
        <w:rPr>
          <w:color w:val="000000"/>
          <w:sz w:val="24"/>
          <w:szCs w:val="24"/>
        </w:rPr>
        <w:t xml:space="preserve">In the last chapter I summarize my experience and familiarize the reader with the advantages and disadvantages provided by the German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72110">
    <w:multiLevelType w:val="hybridMultilevel"/>
    <w:lvl w:ilvl="0" w:tplc="11492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72110">
    <w:abstractNumId w:val="604721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13881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