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TÓFALVI RENÁTA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Mozgássérültek Pető András Nevelőképző és Nevelőintézete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ZEKE LILLA</w:t>
            </w:r>
          </w:p>
          <w:p w:rsidR="00DB4822" w:rsidRDefault="00C275A3" w:rsidP="004D7940">
            <w:pPr>
              <w:pStyle w:val="Hallgatokepzes"/>
            </w:pPr>
            <w:r>
              <w:t>konduktor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Mozgássérültek Pető András Nevelőképző és Nevelőintézete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Kelemen Anna</w:t>
            </w:r>
          </w:p>
          <w:p w:rsidR="00DB4822" w:rsidRDefault="00DB4822" w:rsidP="00E11062">
            <w:pPr>
              <w:pStyle w:val="Konzulensek"/>
            </w:pPr>
            <w:r w:rsidRPr="00DB4822">
              <w:t>docens, MPANNI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Alvászavarok cerebrál paretikus gyermekeknél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cerebrál paretikus (CP) gyerekek alvászavarainak felmérése.</w:t>
      </w:r>
      <w:r>
        <w:rPr>
          <w:color w:val="000000"/>
          <w:sz w:val="24"/>
          <w:szCs w:val="24"/>
        </w:rPr>
        <w:br/>
        <w:t xml:space="preserve">Módszer: 2011-2012-ben, 55, a Pető Intézetben nevelt cerebrál paretikus 24 fiú, és 31 lány gyermeket vizsgáltunk gyermek - alvászavar standardizált kérdőívvel, mely az alvászavarok meglétét, 4 típusát ( elalvási- átalvási zavar, alvási légzészavar, verejtékezés, ébredés és túlzott aluszékonyság), és ezek súlyosságát vizsgálja ötfokozatú skála segítségével. A kontrollcsoportot 55, nemben és korban megfelelő gyermek képezte. A magyar nyelvű tesztet a gyermekek szüleivel vagy a konduktorokkal vettük fel. Vizsgáltuk az alvászavarok előfordulásának gyakoriságát és típusait a CP diagnózisokkal, életkorral és a mentális állapottal összefüggésben.</w:t>
      </w:r>
      <w:r>
        <w:rPr>
          <w:color w:val="000000"/>
          <w:sz w:val="24"/>
          <w:szCs w:val="24"/>
        </w:rPr>
        <w:br/>
        <w:t xml:space="preserve">Eredmények: Az iskolás korosztályban nem volt különbség a CP- s és az ép gyerekek alvászavar-skála pontértékeiben. Az óvodás korosztályban az ép gyerekeknél gyakoribbak voltak az alvászavarok általában, a CP- s gyerekek alvászavar-skála összértékei alacsonyabbak voltak. Egyes alvászavar típusok eltérő gyakoriságot mutattak a CP- s és a nem CP- s gyerekeknél. A légzészavarok, a horkolás, a nappali aluszékonyság és az éjszakai verejtékezés a cerebrál paretikus, az ébredési zavarok pedig a kontroll csoportban jelentkeztek gyakrabban.</w:t>
      </w:r>
      <w:r>
        <w:rPr>
          <w:color w:val="000000"/>
          <w:sz w:val="24"/>
          <w:szCs w:val="24"/>
        </w:rPr>
        <w:br/>
        <w:t xml:space="preserve">A cerebrál parézises gyerekeken belül a dyskinetikus csoportban volt több alvászavar összességében, melyet a diparetikus és a tetraparetikus csoport követ. Az elalvási zavarok is és a horkolás is az dyskinetikus csoportban volt gyakoribb. Az elalvási zavarok az érzelmi zavarokkal állhatnak összefüggésben, mind a depresszió, mind pedig a szorongásos zavarok egyik tünete lehetnek, ezen kívül, inherens belső szabályozási okuk is lehet.</w:t>
      </w:r>
      <w:r>
        <w:rPr>
          <w:color w:val="000000"/>
          <w:sz w:val="24"/>
          <w:szCs w:val="24"/>
        </w:rPr>
        <w:br/>
        <w:t xml:space="preserve">A horkolás az opstruktív alvási apnoae tünete, mely a légző rendszer izomtónus-zavara miatt keletkezik alvásban; az athetotikus és a tetraparetikusok csoportjában volt gyakoribb.</w:t>
      </w:r>
      <w:r>
        <w:rPr>
          <w:color w:val="000000"/>
          <w:sz w:val="24"/>
          <w:szCs w:val="24"/>
        </w:rPr>
        <w:br/>
        <w:t xml:space="preserve">Az ébredési zavarok gyakoriságában és az éjszakai verejtékezésben nem volt különbség a CP altípusai között. A nappali aluszékonyság a diparetikusok csoportjában volt valamivel gyakoribb.</w:t>
      </w:r>
      <w:r>
        <w:rPr>
          <w:color w:val="000000"/>
          <w:sz w:val="24"/>
          <w:szCs w:val="24"/>
        </w:rPr>
        <w:br/>
        <w:t xml:space="preserve">Következtetés: cerebrális paretikus gyerekeknél az alvászavarok különböznek egészséges társaikénál. Az athetotikus és tetraparetikusok alvászavarai specifikusak. Mivel az alvás és a tanulás szoros kapcsolatban áll egymással, a konduktív pedagógiában, mely a tanuláson keresztül történő fejlesztésre épít, felismerésük, és kezelésük nem mellőzhető.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28974">
    <w:multiLevelType w:val="hybridMultilevel"/>
    <w:lvl w:ilvl="0" w:tplc="81753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28974">
    <w:abstractNumId w:val="11428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649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