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TÓFALVI</w:t>
            </w:r>
          </w:p>
          <w:p w:rsidR="00C275A3" w:rsidRDefault="00A96AEC" w:rsidP="00C275A3">
            <w:pPr>
              <w:pStyle w:val="Hallgatokepzes"/>
            </w:pPr>
            <w:r>
              <w:t>conduktur</w:t>
            </w:r>
            <w:r>
              <w:br/>
            </w:r>
            <w:r w:rsidR="00E77B23">
              <w:t>BA, 7. semester</w:t>
            </w:r>
          </w:p>
          <w:p w:rsidR="00C265CE" w:rsidRPr="009E5FF1" w:rsidRDefault="00E77B23" w:rsidP="00C275A3">
            <w:pPr>
              <w:pStyle w:val="Hallgatokepzes"/>
              <w:rPr>
                <w:b/>
                <w:caps/>
              </w:rPr>
            </w:pPr>
            <w:r>
              <w:t>The András Pető Institute of Conductive Education and Conductor Training College</w:t>
            </w:r>
            <w:r w:rsidR="00C275A3">
              <w:br/>
            </w:r>
            <w:r w:rsidR="00DB4822">
              <w:t/>
            </w:r>
          </w:p>
        </w:tc>
        <w:tc>
          <w:tcPr>
            <w:tcW w:w="4914" w:type="dxa"/>
          </w:tcPr>
          <w:p w:rsidR="00DB4822" w:rsidRPr="00DB4822" w:rsidRDefault="00DB4822" w:rsidP="004D7940">
            <w:pPr>
              <w:pStyle w:val="Hallgatonev"/>
              <w:rPr>
                <w:caps/>
              </w:rPr>
            </w:pPr>
            <w:r w:rsidRPr="00DB4822">
              <w:rPr>
                <w:caps/>
              </w:rPr>
              <w:t>LILLA ZEKE</w:t>
            </w:r>
          </w:p>
          <w:p w:rsidR="00DB4822" w:rsidRDefault="00C275A3" w:rsidP="004D7940">
            <w:pPr>
              <w:pStyle w:val="Hallgatokepzes"/>
            </w:pPr>
            <w:r>
              <w:t>conductor</w:t>
            </w:r>
            <w:r w:rsidR="00A96AEC">
              <w:br/>
              <w:t>BA, 7. semester</w:t>
            </w:r>
          </w:p>
          <w:p w:rsidR="00DB4822" w:rsidRDefault="00DB4822" w:rsidP="004D7940">
            <w:pPr>
              <w:pStyle w:val="Hallgatointezmeny-kar"/>
            </w:pPr>
            <w:r>
              <w:t>The András Pető Institute of Conductive Education and Conductor Training College</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Kelemen Anna</w:t>
            </w:r>
          </w:p>
          <w:p w:rsidR="00DB4822" w:rsidRDefault="00DB4822" w:rsidP="00E11062">
            <w:pPr>
              <w:pStyle w:val="Konzulensek"/>
            </w:pPr>
            <w:r w:rsidRPr="00DB4822">
              <w:t>Assotiate professor, MPANNI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Sleep disordes in children with cerebral palsy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Objective: To survey sleep disorders in children with cerebral palsy (CP).</w:t>
      </w:r>
    </w:p>
    <w:p>
      <w:pPr>
        <w:pBdr/>
        <w:spacing w:before="240" w:after="240" w:line="240" w:lineRule="auto"/>
        <w:ind w:left="0" w:right="0"/>
        <w:jc w:val="left"/>
      </w:pPr>
      <w:r>
        <w:rPr>
          <w:color w:val="000000"/>
          <w:sz w:val="24"/>
          <w:szCs w:val="24"/>
        </w:rPr>
        <w:t xml:space="preserve">Method: In 2011 and 2012, we examined 24 boys and 31 girls with cerebral palsy at the Peto Institute using the standardized “Sleep disturbances scale for children” that analyses the presence and severity of sleep disorders, its 4 types (disorders of initiating and maintaining sleep, sleep breathing disorders, disorders of arousal and sleep-wake transition and somnolence). The control group consisted of 55 children of corresponding gender and age. The tests were done by the children’s parents or conductors. We analysed the incidence and types of sleep disorders in relation to the type of CP, age and mental state.</w:t>
      </w:r>
    </w:p>
    <w:p>
      <w:pPr>
        <w:pBdr/>
        <w:spacing w:before="240" w:after="240" w:line="240" w:lineRule="auto"/>
        <w:ind w:left="0" w:right="0"/>
        <w:jc w:val="left"/>
      </w:pPr>
      <w:r>
        <w:rPr>
          <w:color w:val="000000"/>
          <w:sz w:val="24"/>
          <w:szCs w:val="24"/>
        </w:rPr>
        <w:t xml:space="preserve">Results: In the school age group, there was no difference between the CP and healthy children’s score on the scale. In the kindergarten age group, the healthy children had sleep disorders more frequently, the total score of CP children was lower, however, different types of sleep disorders showed different incidence in children with CP and in healthy children. Breathing disorders, snoring, daytime somnolence, and sleep hyperhydrosis occurred more frequently in the cerebral palsy group, while sleep-wake transition disorders occurred more frequently in the control group.</w:t>
      </w:r>
    </w:p>
    <w:p>
      <w:pPr>
        <w:pBdr/>
        <w:spacing w:before="240" w:after="240" w:line="240" w:lineRule="auto"/>
        <w:ind w:left="0" w:right="0"/>
        <w:jc w:val="left"/>
      </w:pPr>
      <w:r>
        <w:rPr>
          <w:color w:val="000000"/>
          <w:sz w:val="24"/>
          <w:szCs w:val="24"/>
        </w:rPr>
        <w:t xml:space="preserve">Among cerebral palsy children, the dyskinetic group had altogether the highest incidence of sleep disorders followed by the diparetic and the tetraparetic group. Disorders of sleep initiation and snoring were also more frequent in the dyskinetic group. Sleep initiation problems might be related to emotive disorders, and can be one of the symptoms of both depression and anxiety. They might have also inherent conditioning cause.</w:t>
      </w:r>
    </w:p>
    <w:p>
      <w:pPr>
        <w:pBdr/>
        <w:spacing w:before="240" w:after="240" w:line="240" w:lineRule="auto"/>
        <w:ind w:left="0" w:right="0"/>
        <w:jc w:val="left"/>
      </w:pPr>
      <w:r>
        <w:rPr>
          <w:color w:val="000000"/>
          <w:sz w:val="24"/>
          <w:szCs w:val="24"/>
        </w:rPr>
        <w:t xml:space="preserve">Snoring is the symptom of obstructive sleep apnea caused by alterations of muscle tone in the respiratory muscles. It was more frequent in the dyskinetic and the tetraparetic group.</w:t>
      </w:r>
    </w:p>
    <w:p>
      <w:pPr>
        <w:pBdr/>
        <w:spacing w:before="240" w:after="240" w:line="240" w:lineRule="auto"/>
        <w:ind w:left="0" w:right="0"/>
        <w:jc w:val="left"/>
      </w:pPr>
      <w:r>
        <w:rPr>
          <w:color w:val="000000"/>
          <w:sz w:val="24"/>
          <w:szCs w:val="24"/>
        </w:rPr>
        <w:t xml:space="preserve">The incidence of sleep-wake transition disorders and sleep hyperhydrosis showed no difference among the subtypes of CP. Daytime somnolence was a bit more frequent in the diparetic group.</w:t>
      </w:r>
    </w:p>
    <w:p>
      <w:pPr>
        <w:pBdr/>
        <w:spacing w:before="240" w:after="240" w:line="240" w:lineRule="auto"/>
        <w:ind w:left="0" w:right="0"/>
        <w:jc w:val="left"/>
      </w:pPr>
      <w:r>
        <w:rPr>
          <w:color w:val="000000"/>
          <w:sz w:val="24"/>
          <w:szCs w:val="24"/>
        </w:rPr>
        <w:t xml:space="preserve">Conclusion: Children with cerebral palsy have different sleep disorders compared to their healthy peers. Sleep disorders of the dyskinetic and the tetraparetic group are specific. Since sleeping and learning are closely related, their recognition and treatment cannot be avoided in the conductive education that builds on development via learning.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01908">
    <w:multiLevelType w:val="hybridMultilevel"/>
    <w:lvl w:ilvl="0" w:tplc="45042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01908">
    <w:abstractNumId w:val="126019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2196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