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ÉVA FEKETE</w:t>
            </w:r>
          </w:p>
          <w:p w:rsidR="00C275A3" w:rsidRDefault="00A96AEC" w:rsidP="00C275A3">
            <w:pPr>
              <w:pStyle w:val="Hallgatokepzes"/>
            </w:pPr>
            <w:r>
              <w:t>Astronomy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Érdi</w:t>
            </w:r>
          </w:p>
          <w:p w:rsidR="00DB4822" w:rsidRDefault="00DB4822" w:rsidP="00E11062">
            <w:pPr>
              <w:pStyle w:val="Konzulensek"/>
            </w:pPr>
            <w:r w:rsidRPr="00DB4822">
              <w:t>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Resonant Transneptunian Objects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of trans-Neptunian objects (TNOs) is driven by several questions that are essential in the field of Astronomy. The investigation of the trans-Neptunian region may hold the key to the origin of the Solar System and to the formation of</w:t>
      </w:r>
      <w:r>
        <w:rPr>
          <w:color w:val="000000"/>
          <w:sz w:val="24"/>
          <w:szCs w:val="24"/>
        </w:rPr>
        <w:br/>
        <w:t xml:space="preserve">the outer planets. The development of life on Earth can also be better understood with the study of these objects.</w:t>
      </w:r>
    </w:p>
    <w:p>
      <w:pPr>
        <w:pBdr/>
        <w:spacing w:before="240" w:after="240" w:line="240" w:lineRule="auto"/>
        <w:ind w:left="0" w:right="0"/>
        <w:jc w:val="left"/>
      </w:pPr>
      <w:r>
        <w:rPr>
          <w:color w:val="000000"/>
          <w:sz w:val="24"/>
          <w:szCs w:val="24"/>
        </w:rPr>
        <w:t xml:space="preserve">During my research I dealt with the 7/3 mean motion resonance, with which several trans-Neptunian objects are connected. My aim was to identify new librating TNOs and to shed light on the connection between the initial orbital elements of the TNO and the appearance and character of the resonance. I explored the resonance in the model of the gravitational six-body problem by numerical methods.</w:t>
      </w:r>
    </w:p>
    <w:p>
      <w:pPr>
        <w:pBdr/>
        <w:spacing w:before="240" w:after="240" w:line="240" w:lineRule="auto"/>
        <w:ind w:left="0" w:right="0"/>
        <w:jc w:val="left"/>
      </w:pPr>
      <w:r>
        <w:rPr>
          <w:color w:val="000000"/>
          <w:sz w:val="24"/>
          <w:szCs w:val="24"/>
        </w:rPr>
        <w:t xml:space="preserve">Out of the 16 objects found in this resonance 7 appeared to be librating. In case of TNOs 2008 CT190 and 2010 FE49 I was the first to show this phenomenon. </w:t>
      </w:r>
    </w:p>
    <w:p>
      <w:pPr>
        <w:pBdr/>
        <w:spacing w:before="240" w:after="240" w:line="240" w:lineRule="auto"/>
        <w:ind w:left="0" w:right="0"/>
        <w:jc w:val="left"/>
      </w:pPr>
      <w:r>
        <w:rPr>
          <w:color w:val="000000"/>
          <w:sz w:val="24"/>
          <w:szCs w:val="24"/>
        </w:rPr>
        <w:t xml:space="preserve">I investigated the resonance in general between eccentricities 0.01 and 0.41. Regarding the appearance of the resonance there are certain centers of libration that lead to the libration of the resonance variable if we launch the object from there. The greater the eccentricity, the more extended these structures are.</w:t>
      </w:r>
    </w:p>
    <w:p>
      <w:pPr>
        <w:pBdr/>
        <w:spacing w:before="240" w:after="240" w:line="240" w:lineRule="auto"/>
        <w:ind w:left="0" w:right="0"/>
        <w:jc w:val="left"/>
      </w:pPr>
      <w:r>
        <w:rPr>
          <w:color w:val="000000"/>
          <w:sz w:val="24"/>
          <w:szCs w:val="24"/>
        </w:rPr>
        <w:t xml:space="preserve">Both symmetric and asymmetric librations appear in the 7/3 resonance, but the latter one disappeares at higher eccentricities. This can be explained by the convergence of the Laplacian expansion of the disturbing function of the perturbed two-body problem. The asymmetric libration fades away when the Laplacian expansion becomes divergent.</w:t>
      </w:r>
    </w:p>
    <w:p>
      <w:pPr>
        <w:pBdr/>
        <w:spacing w:before="240" w:after="240" w:line="240" w:lineRule="auto"/>
        <w:ind w:left="0" w:right="0"/>
        <w:jc w:val="left"/>
      </w:pPr>
      <w:r>
        <w:rPr>
          <w:color w:val="000000"/>
          <w:sz w:val="24"/>
          <w:szCs w:val="24"/>
        </w:rPr>
        <w:t xml:space="preserve">The results achieved for real and simulated objects strengthen each other regarding both the regions of libration in the semi-major axis-eccentricity plain and the starting positions on the orbit for the appearance of libration. Based on numerical simulations libration appeares most likely around the resonant semi-major axis, a=53 AU and at higher eccentricities. The real</w:t>
      </w:r>
      <w:r>
        <w:rPr>
          <w:color w:val="000000"/>
          <w:sz w:val="24"/>
          <w:szCs w:val="24"/>
        </w:rPr>
        <w:br/>
        <w:t xml:space="preserve">librating TNOs are exactly here.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29782">
    <w:multiLevelType w:val="hybridMultilevel"/>
    <w:lvl w:ilvl="0" w:tplc="53053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29782">
    <w:abstractNumId w:val="45429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480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