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KÁROLYI</w:t>
            </w:r>
          </w:p>
          <w:p w:rsidR="00C275A3" w:rsidRDefault="00A96AEC" w:rsidP="00C275A3">
            <w:pPr>
              <w:pStyle w:val="Hallgatokepzes"/>
            </w:pPr>
            <w:r>
              <w:t>Buddhist religious teacher</w:t>
            </w:r>
            <w:r>
              <w:br/>
            </w:r>
            <w:r w:rsidR="00E77B23">
              <w:t>MA, 9. semester</w:t>
            </w:r>
          </w:p>
          <w:p w:rsidR="00C265CE" w:rsidRPr="009E5FF1" w:rsidRDefault="00E77B23" w:rsidP="00C275A3">
            <w:pPr>
              <w:pStyle w:val="Hallgatokepzes"/>
              <w:rPr>
                <w:b/>
                <w:caps/>
              </w:rPr>
            </w:pPr>
            <w:r>
              <w:t>Dharma Gate Buddhist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Fumiyo Goto</w:t>
            </w:r>
          </w:p>
          <w:p w:rsidR="00DB4822" w:rsidRDefault="00DB4822" w:rsidP="00E11062">
            <w:pPr>
              <w:pStyle w:val="Konzulensek"/>
            </w:pPr>
            <w:r w:rsidRPr="00DB4822">
              <w:t>assistant lecturer, TKBF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Teaching Japanese language and culture through tales – setsuwa in the Buddhist religious education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Aim of the essay is to present a learning and teaching method which helps students by making easier acquirement of modern and classical Japanese language. Japanese fables (setsuwa) can provide kind of a handhold to the acquirement of knowledge necessary for studying and investigating Japanese Buddhism. Students can know of such words and stories, to which they can connect safely their further learning.</w:t>
      </w:r>
    </w:p>
    <w:p>
      <w:pPr>
        <w:pBdr/>
        <w:spacing w:before="240" w:after="240" w:line="240" w:lineRule="auto"/>
        <w:ind w:left="0" w:right="0"/>
        <w:jc w:val="left"/>
      </w:pPr>
      <w:r>
        <w:rPr>
          <w:color w:val="000000"/>
          <w:sz w:val="24"/>
          <w:szCs w:val="24"/>
        </w:rPr>
        <w:t xml:space="preserve">During study of Japanese language it is necessary to traverse a huge complex system, without this it would be almost impossible task to understand the Buddhist terminology and the classical Japanese language. Simple fables which contain numerous Buddhist elements can facilitate fastest knowing of early Japanese culture and Buddhist terminology.</w:t>
      </w:r>
    </w:p>
    <w:p>
      <w:pPr>
        <w:pBdr/>
        <w:spacing w:before="240" w:after="240" w:line="240" w:lineRule="auto"/>
        <w:ind w:left="0" w:right="0"/>
        <w:jc w:val="left"/>
      </w:pPr>
      <w:r>
        <w:rPr>
          <w:color w:val="000000"/>
          <w:sz w:val="24"/>
          <w:szCs w:val="24"/>
        </w:rPr>
        <w:t xml:space="preserve">The essay touches tangentially the connection of Japanese language and literature with Buddhism, presenting in detail Konjaku Monogatari, the biggest setsuwa collection. Circumstances of its formation and its structure are analysed in order to make clear its usefulness in education.</w:t>
      </w:r>
    </w:p>
    <w:p>
      <w:pPr>
        <w:pBdr/>
        <w:spacing w:before="240" w:after="240" w:line="240" w:lineRule="auto"/>
        <w:ind w:left="0" w:right="0"/>
        <w:jc w:val="left"/>
      </w:pPr>
      <w:r>
        <w:rPr>
          <w:color w:val="000000"/>
          <w:sz w:val="24"/>
          <w:szCs w:val="24"/>
        </w:rPr>
        <w:t xml:space="preserve">Tale therapy of Ildiko Boldizsar is also mentioned, stressing positive effects of tales on readers and applicability of “tale therapy approach” in education. Finally possibilities for practical implementation of teaching with tales are reviewed. Three possible versions are presented:</w:t>
      </w:r>
    </w:p>
    <w:p>
      <w:pPr>
        <w:pStyle w:val="ListParagraphPHPDOCX"/>
        <w:numPr>
          <w:ilvl w:val="0"/>
          <w:numId w:val="61374821"/>
        </w:numPr>
        <w:spacing w:before="0" w:after="0" w:line="240" w:lineRule="auto"/>
        <w:contextualSpacing/>
        <w:jc w:val="left"/>
        <w:rPr>
          <w:sz w:val="24"/>
          <w:szCs w:val="24"/>
        </w:rPr>
      </w:pPr>
      <w:r>
        <w:rPr>
          <w:color w:val="000000"/>
          <w:sz w:val="24"/>
          <w:szCs w:val="24"/>
        </w:rPr>
        <w:t xml:space="preserve">Reading of tales in Hungarian translation</w:t>
      </w:r>
    </w:p>
    <w:p>
      <w:pPr>
        <w:pStyle w:val="ListParagraphPHPDOCX"/>
        <w:numPr>
          <w:ilvl w:val="0"/>
          <w:numId w:val="61374821"/>
        </w:numPr>
        <w:spacing w:before="0" w:after="0" w:line="240" w:lineRule="auto"/>
        <w:contextualSpacing/>
        <w:jc w:val="left"/>
        <w:rPr>
          <w:sz w:val="24"/>
          <w:szCs w:val="24"/>
        </w:rPr>
      </w:pPr>
      <w:r>
        <w:rPr>
          <w:color w:val="000000"/>
          <w:sz w:val="24"/>
          <w:szCs w:val="24"/>
        </w:rPr>
        <w:t xml:space="preserve">Reading of modern Japanese text</w:t>
      </w:r>
    </w:p>
    <w:p>
      <w:pPr>
        <w:pStyle w:val="ListParagraphPHPDOCX"/>
        <w:numPr>
          <w:ilvl w:val="0"/>
          <w:numId w:val="61374821"/>
        </w:numPr>
        <w:spacing w:before="0" w:after="0" w:line="240" w:lineRule="auto"/>
        <w:contextualSpacing/>
        <w:jc w:val="left"/>
        <w:rPr>
          <w:sz w:val="24"/>
          <w:szCs w:val="24"/>
        </w:rPr>
      </w:pPr>
      <w:r>
        <w:rPr>
          <w:color w:val="000000"/>
          <w:sz w:val="24"/>
          <w:szCs w:val="24"/>
        </w:rPr>
        <w:t xml:space="preserve">Reading of classical original</w:t>
      </w:r>
    </w:p>
    <w:p>
      <w:pPr>
        <w:pBdr/>
        <w:spacing w:before="240" w:after="240" w:line="240" w:lineRule="auto"/>
        <w:ind w:left="0" w:right="0"/>
        <w:jc w:val="left"/>
      </w:pPr>
      <w:r>
        <w:rPr>
          <w:color w:val="000000"/>
          <w:sz w:val="24"/>
          <w:szCs w:val="24"/>
        </w:rPr>
        <w:t xml:space="preserve">Depending on the level end orientation of student group we can choose from the above three possibilities. The target of course is to reach level 3 with the group, so that they can read in classical original the stories, religious and philosophical works. Through the simple stories the student can more easily get used to the classical Japanese language style and its grammar. Later on students will encounter less difficulties, should they decide to study and translate the works of such thinkers as Yoshida Kenko or Shinran.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374821">
    <w:multiLevelType w:val="hybridMultilevel"/>
    <w:lvl w:ilvl="0" w:tplc="22387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374821">
    <w:abstractNumId w:val="613748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89201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