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PÖLTL JÁNOS</w:t>
            </w:r>
          </w:p>
          <w:p w:rsidR="00C275A3" w:rsidRDefault="00A96AEC" w:rsidP="00C275A3">
            <w:pPr>
              <w:pStyle w:val="Hallgatokepzes"/>
            </w:pPr>
            <w:r>
              <w:t>buddhista tanító</w:t>
            </w:r>
            <w:r>
              <w:br/>
            </w:r>
            <w:r w:rsidR="00E77B23">
              <w:t>BA, 5. félév</w:t>
            </w:r>
          </w:p>
          <w:p w:rsidR="00C265CE" w:rsidRPr="009E5FF1" w:rsidRDefault="00E77B23" w:rsidP="00C275A3">
            <w:pPr>
              <w:pStyle w:val="Hallgatokepzes"/>
              <w:rPr>
                <w:b/>
                <w:caps/>
              </w:rPr>
            </w:pPr>
            <w:r>
              <w:t>A Tan Kapuja Buddhista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Végh József</w:t>
            </w:r>
          </w:p>
          <w:p w:rsidR="00DB4822" w:rsidRDefault="00DB4822" w:rsidP="00E11062">
            <w:pPr>
              <w:pStyle w:val="Konzulensek"/>
            </w:pPr>
            <w:r w:rsidRPr="00DB4822">
              <w:t>főiskolai adjunktus, TKBF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Logika és tapasztalás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buddhista ismeretelmélet néhány kérdése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 logikát a következtetés tudományának tartjuk. Ha van néhány premisszánk, azokból a teljes bizonyossággal lehet következtetni bizonyos konklúzióra. Az Arisztotelész munkásságára visszavezethető klasszikus logika alkalmazása esetén nem szükséges megfigyelnünk a világot, pusztán elmélkedéssel eldönthető, hogy a konklúzió fennáll, ha valahonnan tudjuk, hogy a premisszák igazak.</w:t>
      </w:r>
    </w:p>
    <w:p>
      <w:pPr>
        <w:widowControl w:val="on"/>
        <w:pBdr/>
        <w:spacing w:before="240" w:after="240" w:line="240" w:lineRule="auto"/>
        <w:ind w:left="0" w:right="0"/>
        <w:jc w:val="left"/>
      </w:pPr>
      <w:r>
        <w:rPr>
          <w:color w:val="000000"/>
          <w:sz w:val="24"/>
          <w:szCs w:val="24"/>
        </w:rPr>
        <w:t xml:space="preserve">Az ókori indiai kultúrában látszatra nagyon hasonló érvelést alkalmaztak, mint amit a kalsszikus logikából ismerünk. Ez alapján az a benyomásunk lehet, hogy az indiai tanításokat az európaiakhoz hasonlóan értelmezhetjük, hasonlóan állapíthatunk meg ki nem mondott konklúziókat. Írásomban rámutatok arra, hogy eme látszólagos hasonlóság mögött lényegesen eltérő ismeretelmélet, metafizika és nyelvfilozófia húzódhat, emiatt fenntartásokkal kell fogadnunk azokat a konklúziókat, melyeket a szöveg nem mond ki, és tapasztalattal nem igazoltunk. Ez különösen érvényes a buddhista iskolák tanításaira, melyek azt állítják, hogy a világról alkotott képünk illúzió, tehát tévesen látjuk a világot.</w:t>
      </w:r>
    </w:p>
    <w:p>
      <w:pPr>
        <w:widowControl w:val="on"/>
        <w:pBdr/>
        <w:spacing w:before="240" w:after="240" w:line="240" w:lineRule="auto"/>
        <w:ind w:left="0" w:right="0"/>
        <w:jc w:val="left"/>
      </w:pPr>
      <w:r>
        <w:rPr>
          <w:color w:val="000000"/>
          <w:sz w:val="24"/>
          <w:szCs w:val="24"/>
        </w:rPr>
        <w:t xml:space="preserve">Dolgozatomban a njája logikai, ismeretelméleti rendszert mutatom be részletesebben, azon egyszerű oknál fogva, hogy erről maradt fenn olyan írás, mely az érvelés szerkezetét, általános szabályait ismerteti. Valószínűleg a különböző iskolák elfogadták ezeket, mivel csak a speciálisabb, nem a logikai, érveléstechnikai, hanem a filozófiai állításaival vitatkoztak. A buddhista iskolák nem fogalmaztak meg saját érvelési szabályokat, hanem átvették és alkalmazták azokat, ezért a njája érvelés tükrében vizsgálom a buddhista filozófiát.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74362">
    <w:multiLevelType w:val="hybridMultilevel"/>
    <w:lvl w:ilvl="0" w:tplc="67151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74362">
    <w:abstractNumId w:val="90174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404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