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JANOS POLTL</w:t>
            </w:r>
          </w:p>
          <w:p w:rsidR="00C275A3" w:rsidRDefault="00A96AEC" w:rsidP="00C275A3">
            <w:pPr>
              <w:pStyle w:val="Hallgatokepzes"/>
            </w:pPr>
            <w:r>
              <w:t>Buddhist Teacher (Theologist)</w:t>
            </w:r>
            <w:r>
              <w:br/>
            </w:r>
            <w:r w:rsidR="00E77B23">
              <w:t>BA, 5. semester</w:t>
            </w:r>
          </w:p>
          <w:p w:rsidR="00C265CE" w:rsidRPr="009E5FF1" w:rsidRDefault="00E77B23" w:rsidP="00C275A3">
            <w:pPr>
              <w:pStyle w:val="Hallgatokepzes"/>
              <w:rPr>
                <w:b/>
                <w:caps/>
              </w:rPr>
            </w:pPr>
            <w:r>
              <w:t>Dharma Gate Buddhist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Jozsef Vegh</w:t>
            </w:r>
          </w:p>
          <w:p w:rsidR="00DB4822" w:rsidRDefault="00DB4822" w:rsidP="00E11062">
            <w:pPr>
              <w:pStyle w:val="Konzulensek"/>
            </w:pPr>
            <w:r w:rsidRPr="00DB4822">
              <w:t>  assistant professor, TKBF Dharma Gate Buddhist University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Logic and Experience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Some Questions of the Buddhist Epistemology</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laws of valid inference are studied in the field of logic. We can decide which conclusion follows necessarily from the stated premises whitout observe only thinking when we use the Aristotelian logic.</w:t>
      </w:r>
    </w:p>
    <w:p>
      <w:pPr>
        <w:widowControl w:val="on"/>
        <w:pBdr/>
        <w:spacing w:before="240" w:after="240" w:line="240" w:lineRule="auto"/>
        <w:ind w:left="0" w:right="0"/>
        <w:jc w:val="left"/>
      </w:pPr>
      <w:r>
        <w:rPr>
          <w:color w:val="000000"/>
          <w:sz w:val="24"/>
          <w:szCs w:val="24"/>
        </w:rPr>
        <w:t xml:space="preserve">In the early Indian culture there are used reasoning which seems similar to aristotelian logic. My paper point to difference between Aristotelian and Indian metaphisics, epistemology and language philosophy especially Buddhist ones. That means the Aristotelian logic can not used without experience during study Buddhist teaching as we use the logic.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256759">
    <w:multiLevelType w:val="hybridMultilevel"/>
    <w:lvl w:ilvl="0" w:tplc="833167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256759">
    <w:abstractNumId w:val="792567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53810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