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BEÁTA CSAPÓ</w:t>
            </w:r>
          </w:p>
          <w:p w:rsidR="00C275A3" w:rsidRDefault="00A96AEC" w:rsidP="00C275A3">
            <w:pPr>
              <w:pStyle w:val="Hallgatokepzes"/>
            </w:pPr>
            <w:r>
              <w:t>Intenational economics</w:t>
            </w:r>
            <w:r>
              <w:br/>
            </w:r>
            <w:r w:rsidR="00E77B23">
              <w:t>BA, 3. semester</w:t>
            </w:r>
          </w:p>
          <w:p w:rsidR="00C265CE" w:rsidRPr="009E5FF1" w:rsidRDefault="00E77B23" w:rsidP="00C275A3">
            <w:pPr>
              <w:pStyle w:val="Hallgatokepzes"/>
              <w:rPr>
                <w:b/>
                <w:caps/>
              </w:rPr>
            </w:pPr>
            <w:r>
              <w:t>Wekerle Sándor Business College</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Viktória Túri </w:t>
            </w:r>
          </w:p>
          <w:p w:rsidR="00DB4822" w:rsidRDefault="00DB4822" w:rsidP="00E11062">
            <w:pPr>
              <w:pStyle w:val="Konzulensek"/>
            </w:pPr>
            <w:r w:rsidRPr="00DB4822">
              <w:t>professor, WSUF</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Analysis and opened questions of the Central Bank of Hungary's affiliation to the new generation of trans-European automated real-time gross settlement express transfer system (TARGET2) as an in country</w:t>
      </w:r>
      <w:r>
        <w:t xml:space="preserve"/>
      </w:r>
    </w:p>
    <w:p w:rsidR="00D71DF5" w:rsidRDefault="00D71DF5" w:rsidP="00AD2602">
      <w:pPr>
        <w:jc w:val="both"/>
      </w:pPr>
    </w:p>
    <w:p>
      <w:pPr>
        <w:pBdr/>
        <w:spacing w:before="240" w:after="240" w:line="240" w:lineRule="auto"/>
        <w:ind w:left="0" w:right="0"/>
        <w:jc w:val="left"/>
      </w:pPr>
      <w:r>
        <w:rPr>
          <w:rFonts w:ascii="times new roman" w:hAnsi="times new roman" w:cs="times new roman"/>
          <w:color w:val="000000"/>
          <w:sz w:val="24"/>
          <w:szCs w:val="24"/>
        </w:rPr>
        <w:t xml:space="preserve">TARGET2 (it is the abbreviation for the Trans-European Automated Real-time Gross settlement Express Transfer) is one of the largest payment systems in the world and the second generation of the real-time gross settlement (RTGS) system developed and operated by the Eurosystem on a single technical platform. Payment transactions are settled one by one on a continuous basis in central bank money with immediate finality.</w:t>
      </w:r>
    </w:p>
    <w:p>
      <w:pPr>
        <w:pBdr/>
        <w:spacing w:before="0" w:after="0" w:line="240" w:lineRule="auto"/>
        <w:ind w:left="0" w:right="0"/>
        <w:jc w:val="left"/>
      </w:pPr>
      <w:r>
        <w:rPr>
          <w:color w:val="000000"/>
          <w:sz w:val="24"/>
          <w:szCs w:val="24"/>
        </w:rPr>
        <w:t xml:space="preserve"> </w:t>
      </w:r>
    </w:p>
    <w:p>
      <w:pPr>
        <w:pBdr/>
        <w:spacing w:before="240" w:after="240" w:line="240" w:lineRule="auto"/>
        <w:ind w:left="0" w:right="0"/>
        <w:jc w:val="left"/>
      </w:pPr>
      <w:r>
        <w:rPr>
          <w:rFonts w:ascii="times new roman" w:hAnsi="times new roman" w:cs="times new roman"/>
          <w:color w:val="000000"/>
          <w:sz w:val="24"/>
          <w:szCs w:val="24"/>
        </w:rPr>
        <w:t xml:space="preserve">Currently in our country the date for change from our national curreny to the euro is unknown, but despite of this fact there is a possibility to affiliate to the TARGET2 system before joining the Eurozone (as an out country) or on the date for euro adoption (as an in conuntry) which is a question governed by tha Nation.</w:t>
      </w:r>
    </w:p>
    <w:p>
      <w:pPr>
        <w:pBdr/>
        <w:spacing w:before="0" w:after="0" w:line="240" w:lineRule="auto"/>
        <w:ind w:left="0" w:right="0"/>
        <w:jc w:val="left"/>
      </w:pPr>
      <w:r>
        <w:rPr>
          <w:color w:val="000000"/>
          <w:sz w:val="24"/>
          <w:szCs w:val="24"/>
        </w:rPr>
        <w:t xml:space="preserve"> </w:t>
      </w:r>
    </w:p>
    <w:p>
      <w:pPr>
        <w:pBdr/>
        <w:spacing w:before="240" w:after="240" w:line="240" w:lineRule="auto"/>
        <w:ind w:left="0" w:right="0"/>
        <w:jc w:val="left"/>
      </w:pPr>
      <w:r>
        <w:rPr>
          <w:rFonts w:ascii="times new roman" w:hAnsi="times new roman" w:cs="times new roman"/>
          <w:color w:val="000000"/>
          <w:sz w:val="24"/>
          <w:szCs w:val="24"/>
        </w:rPr>
        <w:t xml:space="preserve">This essay contains the advantages and disadvantages of joining the real time gross settlement system as an out country as well. On the date for euro adoption our local RTGS system named VIBER will be replaced to TARGET2 component system which means a Eurosystem central bank's RTGS system that part of TARGET2.</w:t>
      </w:r>
    </w:p>
    <w:p>
      <w:pPr>
        <w:pBdr/>
        <w:spacing w:before="0" w:after="0" w:line="240" w:lineRule="auto"/>
        <w:ind w:left="0" w:right="0"/>
        <w:jc w:val="left"/>
      </w:pPr>
      <w:r>
        <w:rPr>
          <w:color w:val="000000"/>
          <w:sz w:val="24"/>
          <w:szCs w:val="24"/>
        </w:rPr>
        <w:t xml:space="preserve"> </w:t>
      </w:r>
    </w:p>
    <w:p>
      <w:pPr>
        <w:pBdr/>
        <w:spacing w:before="240" w:after="240" w:line="240" w:lineRule="auto"/>
        <w:ind w:left="0" w:right="0"/>
        <w:jc w:val="left"/>
      </w:pPr>
      <w:r>
        <w:rPr>
          <w:rFonts w:ascii="times new roman" w:hAnsi="times new roman" w:cs="times new roman"/>
          <w:color w:val="000000"/>
          <w:sz w:val="24"/>
          <w:szCs w:val="24"/>
        </w:rPr>
        <w:t xml:space="preserve">After the deciding on the migration strategy the Central Bank of Hungary has to preparing and coordinating migration to TARGET2 Single Shared Platform with local ancillary systems and credit or payment institutions, which raise many questions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5035630">
    <w:multiLevelType w:val="hybridMultilevel"/>
    <w:lvl w:ilvl="0" w:tplc="1881912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5035630">
    <w:abstractNumId w:val="6503563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7584759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