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ALMÁSI</w:t>
            </w:r>
          </w:p>
          <w:p w:rsidR="00C275A3" w:rsidRDefault="00A96AEC" w:rsidP="00C275A3">
            <w:pPr>
              <w:pStyle w:val="Hallgatokepzes"/>
            </w:pPr>
            <w:r>
              <w:t>Human Resources</w:t>
            </w:r>
            <w:r>
              <w:br/>
            </w:r>
            <w:r w:rsidR="00E77B23">
              <w:t>BA, 3. semester</w:t>
            </w:r>
          </w:p>
          <w:p w:rsidR="00C265CE" w:rsidRPr="009E5FF1" w:rsidRDefault="00E77B23" w:rsidP="00C275A3">
            <w:pPr>
              <w:pStyle w:val="Hallgatokepzes"/>
              <w:rPr>
                <w:b/>
                <w:caps/>
              </w:rPr>
            </w:pPr>
            <w:r>
              <w:t>Wekerle Sándor Business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Szarvas</w:t>
            </w:r>
          </w:p>
          <w:p w:rsidR="00DB4822" w:rsidRDefault="00DB4822" w:rsidP="00E11062">
            <w:pPr>
              <w:pStyle w:val="Konzulensek"/>
            </w:pPr>
            <w:r w:rsidRPr="00DB4822">
              <w:t>College Professor, WSUF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credit rating agencies in the U.S. 2007 real estate market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2000s, real estate market bubble and its economic impact has been processed in a very wide range of recognized national and international economists. Examined several aspects of the market and the government failed steps. This study has been very little attention has been paid to the credit rating firms it examines. Since deregulation in the 1970s, during the process, is the 2007 U.S. sub-prime property market before the crisis had shown that the system is not functioning properly. Enough to the Enron scandal in the 2000s and at the turn of the internet bubble bursting think. In 2007, this process reached its climax when the previous years unbridled rage lending, lobbying and the financial markets reached a peak rampage. The time bomb exploded, not just along for the ride in the United States, but also the world economy. This occurrence does not depend on a single server or a bank. To do this, several participants combined negligence and excessive optimism, faith in the system had to be unconditional confidence. The crises, and most of the Big Three credit rating agencies, S &amp; P, Moody's and Fitch Ratings also actively contributed. The United States government causes of the crisis has set up a committee to find out the reasons for the emergence of the crisis, which included the credit rating companies. The study of these tests, the two Exchange Commission in the United States based on the reports. Highlighting that the rating agencies were unable to act or the markets in order to protect the ownership structure, it was not possible for them to protect the valve is too risky securities and markets.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31989">
    <w:multiLevelType w:val="hybridMultilevel"/>
    <w:lvl w:ilvl="0" w:tplc="95416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31989">
    <w:abstractNumId w:val="88831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159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