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MÉRI</w:t>
            </w:r>
          </w:p>
          <w:p w:rsidR="00C275A3" w:rsidRDefault="00A96AEC" w:rsidP="00C275A3">
            <w:pPr>
              <w:pStyle w:val="Hallgatokepzes"/>
            </w:pPr>
            <w:r>
              <w:t>Business Management</w:t>
            </w:r>
            <w:r>
              <w:br/>
            </w:r>
            <w:r w:rsidR="00E77B23">
              <w:t>MA, 2. semester</w:t>
            </w:r>
          </w:p>
          <w:p w:rsidR="00C265CE" w:rsidRPr="009E5FF1" w:rsidRDefault="00E77B23" w:rsidP="00C275A3">
            <w:pPr>
              <w:pStyle w:val="Hallgatokepzes"/>
              <w:rPr>
                <w:b/>
                <w:caps/>
              </w:rPr>
            </w:pPr>
            <w:r>
              <w:t>J. Selye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Šeben, PhD.</w:t>
            </w:r>
          </w:p>
          <w:p w:rsidR="00DB4822" w:rsidRDefault="00DB4822" w:rsidP="00E11062">
            <w:pPr>
              <w:pStyle w:val="Konzulensek"/>
            </w:pPr>
            <w:r w:rsidRPr="00DB4822">
              <w:t>assistant professor ,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Comparison of the Banking Systems of Five EU Countries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reviews in detail the theoretical background of banking systems, then guides the reader through the qualitative and quantitative characteristics of the banking systems of the 5 chosen countries and their evolution throughout the last few years. Our goal is to highlight the main differences and the deduction of consequences. The research methods applied are mostly comparison, but analytic methods and synthesis are also applied.</w:t>
      </w:r>
    </w:p>
    <w:p>
      <w:pPr>
        <w:pBdr/>
        <w:spacing w:before="240" w:after="240" w:line="240" w:lineRule="auto"/>
        <w:ind w:left="0" w:right="0"/>
        <w:jc w:val="left"/>
      </w:pPr>
      <w:r>
        <w:rPr>
          <w:color w:val="000000"/>
          <w:sz w:val="24"/>
          <w:szCs w:val="24"/>
        </w:rPr>
        <w:t xml:space="preserve">Sequentially to the introduction the basics of the banking business are introduced, with regard to the concept “banking system”. After this, the two main types of banking systems, the one-tier and the two-tier banking systems are in the focus. The eurozone and the characteristics of the European Central Bank are also introduced, as a curiosity.</w:t>
      </w:r>
      <w:r>
        <w:rPr>
          <w:color w:val="000000"/>
          <w:sz w:val="24"/>
          <w:szCs w:val="24"/>
        </w:rPr>
        <w:br/>
        <w:t xml:space="preserve">After giving a basic idea about the main characteristics of the selected countries, a description is given on both the tiers of the banking systems of the five countries: that of France, Germany, Hungary, Slovakia and the United Kingdom: their central and commercial banks.</w:t>
      </w:r>
    </w:p>
    <w:p>
      <w:pPr>
        <w:pBdr/>
        <w:spacing w:before="240" w:after="240" w:line="240" w:lineRule="auto"/>
        <w:ind w:left="0" w:right="0"/>
        <w:jc w:val="left"/>
      </w:pPr>
      <w:r>
        <w:rPr>
          <w:color w:val="000000"/>
          <w:sz w:val="24"/>
          <w:szCs w:val="24"/>
        </w:rPr>
        <w:t xml:space="preserve">Compared are not only the quantitative characteristics of the individual banking systems, but also the laws determining their qualitative characteristics and the theories from college textbooks to practice. While central banks are compared on the basis of qualitative characteristics like legal status and the powers exercised, the commercial banking systems aside from being compared using qualitative characteristics, are also compared by quantitative means like aggregate assets – not only one set of data, but the evolution throughout the years is given.</w:t>
      </w:r>
    </w:p>
    <w:p>
      <w:pPr>
        <w:pBdr/>
        <w:spacing w:before="240" w:after="240" w:line="240" w:lineRule="auto"/>
        <w:ind w:left="0" w:right="0"/>
        <w:jc w:val="left"/>
      </w:pPr>
      <w:r>
        <w:rPr>
          <w:color w:val="000000"/>
          <w:sz w:val="24"/>
          <w:szCs w:val="24"/>
        </w:rPr>
        <w:t xml:space="preserve">The differences between banking systems also receive focus. The Western Capitalist systems tend to have significantly higher volume of capital; the central banks outside the eurozone tend to have a higher level of self-determination.</w:t>
      </w:r>
    </w:p>
    <w:p>
      <w:pPr>
        <w:pBdr/>
        <w:spacing w:before="240" w:after="240" w:line="240" w:lineRule="auto"/>
        <w:ind w:left="0" w:right="0"/>
        <w:jc w:val="left"/>
      </w:pPr>
      <w:r>
        <w:rPr>
          <w:color w:val="000000"/>
          <w:sz w:val="24"/>
          <w:szCs w:val="24"/>
        </w:rPr>
        <w:t xml:space="preserve">A few curiosities are also listed. An example being that while the laws of all the analysed counties use the phrase price stability, only the legislative of the United Kingdom settled the question how this phrase is to be interpreted in the practice. Another curiosity can be observed when we compare how the legislators deal with incumbent central bank leaders in the event of systemic change. While in Hungary the relevant act guaranties the incumbent leaders’ term in office, in the United Kingdom they order an end to their mandate on the day the relevant act comes into force.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27769">
    <w:multiLevelType w:val="hybridMultilevel"/>
    <w:lvl w:ilvl="0" w:tplc="44929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27769">
    <w:abstractNumId w:val="36127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931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