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BERTALAN CSAPKOVICS</w:t>
            </w:r>
          </w:p>
          <w:p w:rsidR="00C275A3" w:rsidRDefault="00A96AEC" w:rsidP="00C275A3">
            <w:pPr>
              <w:pStyle w:val="Hallgatokepzes"/>
            </w:pPr>
            <w:r>
              <w:t>reformed theology</w:t>
            </w:r>
            <w:r>
              <w:br/>
            </w:r>
            <w:r w:rsidR="00E77B23">
              <w:t>MA, 10. semester</w:t>
            </w:r>
          </w:p>
          <w:p w:rsidR="00C265CE" w:rsidRPr="009E5FF1" w:rsidRDefault="00E77B23" w:rsidP="00C275A3">
            <w:pPr>
              <w:pStyle w:val="Hallgatokepzes"/>
              <w:rPr>
                <w:b/>
                <w:caps/>
              </w:rPr>
            </w:pPr>
            <w:r>
              <w:t>J. Selye University</w:t>
            </w:r>
            <w:r w:rsidR="00C275A3">
              <w:br/>
            </w:r>
            <w:r w:rsidR="00DB4822">
              <w:t>Reformed Theological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Doc. Bernhard Kaiser, D.Th.</w:t>
            </w:r>
          </w:p>
          <w:p w:rsidR="00DB4822" w:rsidRDefault="00DB4822" w:rsidP="00E11062">
            <w:pPr>
              <w:pStyle w:val="Konzulensek"/>
            </w:pPr>
            <w:r w:rsidRPr="00DB4822">
              <w:t>professor, SJE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predestination and the human getting-know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research, first I show the actuality of the predestination, the problematique of it, and the importance of it. My aim is to analyse the main theories of the predestination, and to find that view, what is principally based on the Bible.</w:t>
      </w:r>
    </w:p>
    <w:p>
      <w:pPr>
        <w:pBdr/>
        <w:spacing w:before="240" w:after="240" w:line="240" w:lineRule="auto"/>
        <w:ind w:left="0" w:right="0"/>
        <w:jc w:val="left"/>
      </w:pPr>
      <w:r>
        <w:rPr>
          <w:color w:val="000000"/>
          <w:sz w:val="24"/>
          <w:szCs w:val="24"/>
        </w:rPr>
        <w:t xml:space="preserve">Secondly I make three exposition about those academic methods, which – although they are set as brand-knew methods in theology, but – helps our analysis efficiently: cognitive conceptual scheme, sustaining of paradoxon’s, perlocutionary act.</w:t>
      </w:r>
    </w:p>
    <w:p>
      <w:pPr>
        <w:pBdr/>
        <w:spacing w:before="240" w:after="240" w:line="240" w:lineRule="auto"/>
        <w:ind w:left="0" w:right="0"/>
        <w:jc w:val="left"/>
      </w:pPr>
      <w:r>
        <w:rPr>
          <w:color w:val="000000"/>
          <w:sz w:val="24"/>
          <w:szCs w:val="24"/>
        </w:rPr>
        <w:t xml:space="preserve">Then I analyse the main theories of the predestination (mainly till the end of 16-17th Century) with these methods. During the research I clear up the causes of the different views. I ascertain that those who were against the predestination and who taught it with God’s prevision, those put a thesis as the main axis of their thinking, which come from outside of the Holy Scripture. Their cognitive conceptual scheme’s essence is a philosophical justice. They did not sustain the paradoxon, and their writing’s perlocutionary act is different from the Bible’s perlocutionary act. The Reformers cognitive conceptual scheme was correct and with this they write in a correct way about the predestination. Christ, the faith and the salvation are standing in the middle of it. This is helped by that fact, that they sustained successfully the paradoxon: God is a sovereign God, but the man is responsible. As well as their writing’s perlocutionary act is correct: the faith in Christ and the fear of God. The lapsarian views’s cognitive conceptual scheme is focused only on the sovereignty of God. They did not sustain the paradoxon. Their writing’s perlocutionary act is partly opposed than the Bible’s perlocutionary act.</w:t>
      </w:r>
    </w:p>
    <w:p>
      <w:pPr>
        <w:pBdr/>
        <w:spacing w:before="240" w:after="240" w:line="240" w:lineRule="auto"/>
        <w:ind w:left="0" w:right="0"/>
        <w:jc w:val="left"/>
      </w:pPr>
      <w:r>
        <w:rPr>
          <w:color w:val="000000"/>
          <w:sz w:val="24"/>
          <w:szCs w:val="24"/>
        </w:rPr>
        <w:t xml:space="preserve">Final, as pointing forward, I draw up a novel method, which step over the analysed problem, and it claim to gain ground as a general research method at christian dogma’s.</w:t>
      </w:r>
    </w:p>
    <w:p>
      <w:pPr>
        <w:pBdr/>
        <w:spacing w:before="240" w:after="240" w:line="240" w:lineRule="auto"/>
        <w:ind w:left="0" w:right="0"/>
        <w:jc w:val="left"/>
      </w:pPr>
      <w:r>
        <w:rPr>
          <w:color w:val="000000"/>
          <w:sz w:val="24"/>
          <w:szCs w:val="24"/>
        </w:rPr>
        <w:t xml:space="preserve">Key words: predestination, focal- and incremental consciousness, cognitive conceptual scheme, paradoxon, perlocutionary act.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14659">
    <w:multiLevelType w:val="hybridMultilevel"/>
    <w:lvl w:ilvl="0" w:tplc="66768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14659">
    <w:abstractNumId w:val="727146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0056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