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MEGYESI</w:t>
            </w:r>
          </w:p>
          <w:p w:rsidR="00C275A3" w:rsidRDefault="00A96AEC" w:rsidP="00C275A3">
            <w:pPr>
              <w:pStyle w:val="Hallgatokepzes"/>
            </w:pPr>
            <w:r>
              <w:t>pharmacist</w:t>
            </w:r>
            <w:r>
              <w:br/>
            </w:r>
            <w:r w:rsidR="00E77B23">
              <w:t>Unified, 10. semester</w:t>
            </w:r>
          </w:p>
          <w:p w:rsidR="00C265CE" w:rsidRPr="009E5FF1" w:rsidRDefault="00E77B23" w:rsidP="00C275A3">
            <w:pPr>
              <w:pStyle w:val="Hallgatokepzes"/>
              <w:rPr>
                <w:b/>
                <w:caps/>
              </w:rPr>
            </w:pPr>
            <w:r>
              <w:t>University of Szeged</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Enikő Forró</w:t>
            </w:r>
          </w:p>
          <w:p w:rsidR="00DB4822" w:rsidRDefault="00DB4822" w:rsidP="00E11062">
            <w:pPr>
              <w:pStyle w:val="Konzulensek"/>
            </w:pPr>
            <w:r w:rsidRPr="00DB4822">
              <w:t>associate professor, SZTE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Enzyme-catalyzed asymmetric acylation of calycotomine in batch and continuous-flow reactions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Compounds with tetrahydroisoquinoline skeleton are of great importance from both biological and chemical aspects. They can be used in drug research due to their potential antibacterial, anti-HIV and antitumor activities.</w:t>
      </w:r>
      <w:r>
        <w:rPr>
          <w:color w:val="000000"/>
          <w:sz w:val="24"/>
          <w:szCs w:val="24"/>
        </w:rPr>
        <w:br/>
        <w:t xml:space="preserve">In drug research it is extremely important to synthesize all of the possible enantiomers of a chiral compound and to analyse each of them separately. One potential way to prepare enantiomers is the enzyme-catalyzed kinetic resolution. Our aim in this work was to devise an adequate enzymatic method for the preparation of calycotomine enantiomers, through the asymmetric acylation of the primary OH group of the Boc-protected amino alcohol [(±)-1].</w:t>
      </w:r>
    </w:p>
    <w:p>
      <w:pPr>
        <w:widowControl w:val="on"/>
        <w:pBdr/>
        <w:spacing w:before="240" w:after="240" w:line="240" w:lineRule="auto"/>
        <w:ind w:left="0" w:right="0"/>
        <w:jc w:val="left"/>
      </w:pPr>
      <w:r>
        <w:rPr>
          <w:color w:val="000000"/>
          <w:sz w:val="24"/>
          <w:szCs w:val="24"/>
        </w:rPr>
        <w:drawing>
          <wp:inline distT="0" distB="0" distL="0" distR="0">
            <wp:extent cx="2894400" cy="1497600"/>
            <wp:docPr id="44937282" name="name1512c8e4289929" descr="imgtmp_23363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363_int_1.gif"/>
                    <pic:cNvPicPr/>
                  </pic:nvPicPr>
                  <pic:blipFill>
                    <a:blip r:embed="rId1512c8e42898ec" cstate="print"/>
                    <a:stretch>
                      <a:fillRect/>
                    </a:stretch>
                  </pic:blipFill>
                  <pic:spPr>
                    <a:xfrm>
                      <a:off x="0" y="0"/>
                      <a:ext cx="2894400" cy="1497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All the preliminary experiments were performed in a continuous-flow system. It was investigated how the enzyme, the amount of acyl donor, the solvent and the temperature influence the enantioselectivity and reaction rate. The preparative-scale resolution of (±)-1 was carried out under the optimized conditions: CAL-B (Candida antarctica lipase B), vinyl acetate, toluene and 60 ºC, as a batch reaction. The highly enantioselective (E &gt; 200) acylation of (±)-1 furnished (R)-1 and (S)-2 with excellent enantiomeric excess values (ee &gt; 99%). The products were separated by column chromatography, then the Boc deprotection resulted in desired calycotomine enantiomers (R)-3 and (S)-3 (ee &gt; 99%).</w:t>
      </w:r>
      <w:r>
        <w:rPr>
          <w:color w:val="000000"/>
          <w:sz w:val="24"/>
          <w:szCs w:val="24"/>
        </w:rPr>
        <w:br/>
        <w:t xml:space="preserve">The research was supported by TAMOP-4.2.2/A-11/1/KONV-2012-0052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79696">
    <w:multiLevelType w:val="hybridMultilevel"/>
    <w:lvl w:ilvl="0" w:tplc="73046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79696">
    <w:abstractNumId w:val="39279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8594251" Type="http://schemas.openxmlformats.org/officeDocument/2006/relationships/numbering" Target="numbering.xml"/><Relationship Id="rId1512c8e42898ec" Type="http://schemas.openxmlformats.org/officeDocument/2006/relationships/image" Target="media/imgrId1512c8e42898ec.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